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3222" w14:textId="11D292F2" w:rsidR="001A0DC1" w:rsidRPr="00B266B0" w:rsidRDefault="001A0DC1" w:rsidP="001A0DC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11F33">
        <w:rPr>
          <w:bCs/>
          <w:noProof w:val="0"/>
          <w:sz w:val="24"/>
          <w:szCs w:val="24"/>
        </w:rPr>
        <w:t>230</w:t>
      </w:r>
      <w:r w:rsidR="00911F33">
        <w:rPr>
          <w:bCs/>
          <w:noProof w:val="0"/>
          <w:sz w:val="24"/>
          <w:szCs w:val="24"/>
        </w:rPr>
        <w:t>1354</w:t>
      </w:r>
    </w:p>
    <w:p w14:paraId="11776FA6" w14:textId="157517B3" w:rsidR="00A209D6" w:rsidRPr="00465587" w:rsidRDefault="001A0DC1" w:rsidP="001A0DC1">
      <w:pPr>
        <w:pStyle w:val="Header"/>
        <w:tabs>
          <w:tab w:val="right" w:pos="9639"/>
        </w:tabs>
        <w:rPr>
          <w:rFonts w:eastAsia="SimSun"/>
          <w:bCs/>
          <w:sz w:val="24"/>
          <w:szCs w:val="24"/>
          <w:lang w:eastAsia="zh-CN"/>
        </w:rPr>
      </w:pPr>
      <w:r>
        <w:rPr>
          <w:bCs/>
          <w:sz w:val="24"/>
          <w:szCs w:val="24"/>
          <w:lang w:eastAsia="zh-CN"/>
        </w:rPr>
        <w:t>Athens, Greece</w:t>
      </w:r>
      <w:r w:rsidRPr="00A36F5F">
        <w:rPr>
          <w:bCs/>
          <w:sz w:val="24"/>
          <w:szCs w:val="24"/>
          <w:lang w:eastAsia="zh-CN"/>
        </w:rPr>
        <w:t xml:space="preserve">, </w:t>
      </w:r>
      <w:r>
        <w:rPr>
          <w:bCs/>
          <w:sz w:val="24"/>
          <w:szCs w:val="24"/>
          <w:lang w:eastAsia="zh-CN"/>
        </w:rPr>
        <w:t>27 February</w:t>
      </w:r>
      <w:r w:rsidRPr="005C7CD5">
        <w:rPr>
          <w:bCs/>
          <w:sz w:val="24"/>
          <w:szCs w:val="24"/>
          <w:lang w:eastAsia="zh-CN"/>
        </w:rPr>
        <w:t xml:space="preserve"> – </w:t>
      </w:r>
      <w:r>
        <w:rPr>
          <w:bCs/>
          <w:sz w:val="24"/>
          <w:szCs w:val="24"/>
          <w:lang w:eastAsia="zh-CN"/>
        </w:rPr>
        <w:t>03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w:t>
      </w:r>
      <w:r>
        <w:rPr>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0DB2EF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666A">
        <w:rPr>
          <w:rFonts w:cs="Arial"/>
          <w:b/>
          <w:bCs/>
          <w:sz w:val="24"/>
          <w:lang w:eastAsia="ja-JP"/>
        </w:rPr>
        <w:t>8</w:t>
      </w:r>
      <w:r>
        <w:rPr>
          <w:rFonts w:cs="Arial"/>
          <w:b/>
          <w:bCs/>
          <w:sz w:val="24"/>
          <w:lang w:eastAsia="ja-JP"/>
        </w:rPr>
        <w:t>.</w:t>
      </w:r>
      <w:r w:rsidR="00C8666A">
        <w:rPr>
          <w:rFonts w:cs="Arial"/>
          <w:b/>
          <w:bCs/>
          <w:sz w:val="24"/>
          <w:lang w:eastAsia="ja-JP"/>
        </w:rPr>
        <w:t>7</w:t>
      </w:r>
      <w:r>
        <w:rPr>
          <w:rFonts w:cs="Arial"/>
          <w:b/>
          <w:bCs/>
          <w:sz w:val="24"/>
          <w:lang w:eastAsia="ja-JP"/>
        </w:rPr>
        <w:t>.</w:t>
      </w:r>
      <w:r w:rsidR="00C8666A">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65C13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4134">
        <w:rPr>
          <w:rFonts w:ascii="Arial" w:hAnsi="Arial" w:cs="Arial"/>
          <w:b/>
          <w:bCs/>
          <w:sz w:val="24"/>
        </w:rPr>
        <w:t>N</w:t>
      </w:r>
      <w:r w:rsidR="003F634D" w:rsidRPr="003F634D">
        <w:rPr>
          <w:rFonts w:ascii="Arial" w:hAnsi="Arial" w:cs="Arial"/>
          <w:b/>
          <w:bCs/>
          <w:sz w:val="24"/>
        </w:rPr>
        <w:t>etwork verified UE location</w:t>
      </w:r>
    </w:p>
    <w:p w14:paraId="25F387E8" w14:textId="36D15E3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718A6" w:rsidRPr="00564A13">
        <w:rPr>
          <w:rFonts w:ascii="Arial" w:hAnsi="Arial" w:cs="Arial"/>
          <w:b/>
          <w:bCs/>
          <w:sz w:val="24"/>
        </w:rPr>
        <w:t>NR_NTN_enh</w:t>
      </w:r>
      <w:proofErr w:type="spellEnd"/>
      <w:r w:rsidRPr="00112F1A">
        <w:rPr>
          <w:rFonts w:ascii="Arial" w:hAnsi="Arial" w:cs="Arial"/>
          <w:b/>
          <w:bCs/>
          <w:sz w:val="24"/>
        </w:rPr>
        <w:t xml:space="preserve"> </w:t>
      </w:r>
      <w:r>
        <w:rPr>
          <w:rFonts w:ascii="Arial" w:hAnsi="Arial" w:cs="Arial"/>
          <w:b/>
          <w:bCs/>
          <w:sz w:val="24"/>
        </w:rPr>
        <w:t xml:space="preserve">- Release </w:t>
      </w:r>
      <w:r w:rsidR="00D7615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063C195" w14:textId="5752E36B" w:rsidR="007A00EC" w:rsidRPr="003A1D28" w:rsidRDefault="007A00EC" w:rsidP="007A00EC">
      <w:pPr>
        <w:spacing w:line="276" w:lineRule="auto"/>
        <w:jc w:val="both"/>
      </w:pPr>
      <w:r w:rsidRPr="003A1D28">
        <w:t xml:space="preserve">In RAN#94e a new </w:t>
      </w:r>
      <w:hyperlink r:id="rId12" w:history="1">
        <w:r w:rsidRPr="00DC6E67">
          <w:rPr>
            <w:rStyle w:val="Hyperlink"/>
          </w:rPr>
          <w:t>work item on NR NTN</w:t>
        </w:r>
      </w:hyperlink>
      <w:r w:rsidRPr="003A1D28">
        <w:t xml:space="preserve"> (Non-Terrestrial Networks) enhancements was approved</w:t>
      </w:r>
      <w:r w:rsidR="00DC6E67">
        <w:t>.</w:t>
      </w:r>
    </w:p>
    <w:p w14:paraId="2E06329E" w14:textId="21EB6D45" w:rsidR="007A00EC" w:rsidRPr="003A1D28" w:rsidRDefault="007A00EC" w:rsidP="007A00EC">
      <w:pPr>
        <w:spacing w:line="276" w:lineRule="auto"/>
        <w:jc w:val="both"/>
      </w:pPr>
      <w:r w:rsidRPr="003A1D28">
        <w:t xml:space="preserve">This WI was further </w:t>
      </w:r>
      <w:hyperlink r:id="rId13" w:history="1">
        <w:r w:rsidRPr="00EF7119">
          <w:rPr>
            <w:rStyle w:val="Hyperlink"/>
          </w:rPr>
          <w:t>revised during RAN#96</w:t>
        </w:r>
      </w:hyperlink>
      <w:r w:rsidRPr="003A1D28">
        <w:t>. Among the objectives of the work item, there is a task to specify enhancing features to Rel-15, 16 &amp; 17’s NR radio interface &amp; NG-RAN and, in particular for Network verified UE positioning, the objective description is as follows:</w:t>
      </w:r>
    </w:p>
    <w:tbl>
      <w:tblPr>
        <w:tblStyle w:val="TableGrid"/>
        <w:tblW w:w="0" w:type="auto"/>
        <w:tblLook w:val="04A0" w:firstRow="1" w:lastRow="0" w:firstColumn="1" w:lastColumn="0" w:noHBand="0" w:noVBand="1"/>
      </w:tblPr>
      <w:tblGrid>
        <w:gridCol w:w="9629"/>
      </w:tblGrid>
      <w:tr w:rsidR="007A00EC" w:rsidRPr="00CE357C" w14:paraId="7AB3339C" w14:textId="77777777" w:rsidTr="005B57DF">
        <w:tc>
          <w:tcPr>
            <w:tcW w:w="9629" w:type="dxa"/>
          </w:tcPr>
          <w:p w14:paraId="3ED0A7CC" w14:textId="77777777" w:rsidR="007A00EC" w:rsidRPr="003A1D28" w:rsidRDefault="007A00EC" w:rsidP="005B57DF">
            <w:pPr>
              <w:spacing w:after="0"/>
            </w:pPr>
            <w:r w:rsidRPr="003A1D28">
              <w:t>4.1.3</w:t>
            </w:r>
            <w:r w:rsidRPr="003A1D28">
              <w:tab/>
              <w:t>Network verified UE location</w:t>
            </w:r>
          </w:p>
          <w:p w14:paraId="65C21320" w14:textId="77777777" w:rsidR="007A00EC" w:rsidRPr="003A1D28" w:rsidRDefault="007A00EC" w:rsidP="005B57DF">
            <w:pPr>
              <w:spacing w:after="0"/>
            </w:pPr>
          </w:p>
          <w:p w14:paraId="6164A08B" w14:textId="77777777" w:rsidR="007A00EC" w:rsidRPr="003A1D28" w:rsidRDefault="007A00EC" w:rsidP="005B57DF">
            <w:pPr>
              <w:spacing w:after="0"/>
            </w:pPr>
            <w:r w:rsidRPr="003A1D28">
              <w:rPr>
                <w:shd w:val="clear" w:color="auto" w:fill="FFFFFF" w:themeFill="background1"/>
              </w:rPr>
              <w:t xml:space="preserve">Pending on the conclusion of the RAN SI </w:t>
            </w:r>
            <w:proofErr w:type="spellStart"/>
            <w:r w:rsidRPr="003A1D28">
              <w:rPr>
                <w:shd w:val="clear" w:color="auto" w:fill="FFFFFF" w:themeFill="background1"/>
              </w:rPr>
              <w:t>FS_NR_NTN_netw_verif_UE_loc</w:t>
            </w:r>
            <w:proofErr w:type="spellEnd"/>
            <w:r w:rsidRPr="003A1D28">
              <w:rPr>
                <w:shd w:val="clear" w:color="auto" w:fill="FFFFFF" w:themeFill="background1"/>
              </w:rPr>
              <w:t xml:space="preserve"> study item,</w:t>
            </w:r>
            <w:r w:rsidRPr="003A1D28">
              <w:t xml:space="preserve"> study and evaluate, if needed, </w:t>
            </w:r>
            <w:bookmarkStart w:id="0" w:name="_Hlk89953816"/>
            <w:r w:rsidRPr="003A1D28">
              <w:t xml:space="preserve">solutions for network to verify UE reported location information </w:t>
            </w:r>
            <w:bookmarkEnd w:id="0"/>
            <w:r w:rsidRPr="003A1D28">
              <w:t>[RAN2,RAN1,RAN3].</w:t>
            </w:r>
          </w:p>
          <w:p w14:paraId="6C6FE03E" w14:textId="77777777" w:rsidR="007A00EC" w:rsidRPr="003A1D28" w:rsidRDefault="007A00EC" w:rsidP="005B57DF">
            <w:pPr>
              <w:spacing w:after="0"/>
            </w:pPr>
          </w:p>
          <w:p w14:paraId="1AFA8C02" w14:textId="77777777" w:rsidR="007A00EC" w:rsidRPr="003A1D28" w:rsidRDefault="007A00EC" w:rsidP="005B57DF">
            <w:pPr>
              <w:spacing w:after="0"/>
            </w:pPr>
            <w:bookmarkStart w:id="1" w:name="_Hlk86407450"/>
            <w:bookmarkStart w:id="2" w:name="_Hlk102684345"/>
            <w:r w:rsidRPr="003A1D28">
              <w:t>RAN is expected to determine by RAN#98 whether the study has identified any need for Network verified UE location specification support in Rel-18</w:t>
            </w:r>
            <w:bookmarkEnd w:id="1"/>
            <w:r w:rsidRPr="003A1D28">
              <w:t>.</w:t>
            </w:r>
            <w:bookmarkEnd w:id="2"/>
          </w:p>
          <w:p w14:paraId="18D9E858" w14:textId="77777777" w:rsidR="007A00EC" w:rsidRPr="00CE357C" w:rsidRDefault="007A00EC" w:rsidP="005B57DF">
            <w:pPr>
              <w:pStyle w:val="paragraph"/>
              <w:spacing w:before="0" w:beforeAutospacing="0" w:after="0" w:afterAutospacing="0"/>
              <w:textAlignment w:val="baseline"/>
              <w:rPr>
                <w:rFonts w:ascii="Segoe UI" w:hAnsi="Segoe UI" w:cs="Segoe UI"/>
                <w:sz w:val="18"/>
                <w:szCs w:val="18"/>
                <w:lang w:val="en-GB"/>
              </w:rPr>
            </w:pPr>
          </w:p>
        </w:tc>
      </w:tr>
    </w:tbl>
    <w:p w14:paraId="47CFD7FD" w14:textId="77777777" w:rsidR="007A00EC" w:rsidRPr="003A1D28" w:rsidRDefault="007A00EC" w:rsidP="007A00EC">
      <w:pPr>
        <w:spacing w:line="276" w:lineRule="auto"/>
        <w:jc w:val="both"/>
        <w:rPr>
          <w:highlight w:val="cyan"/>
        </w:rPr>
      </w:pPr>
    </w:p>
    <w:p w14:paraId="0B9DE98B" w14:textId="33ABF114" w:rsidR="007A00EC" w:rsidRPr="003A1D28" w:rsidRDefault="007A00EC" w:rsidP="007A00EC">
      <w:pPr>
        <w:spacing w:line="276" w:lineRule="auto"/>
        <w:jc w:val="both"/>
      </w:pPr>
      <w:r w:rsidRPr="003A1D28">
        <w:t xml:space="preserve">The </w:t>
      </w:r>
      <w:hyperlink r:id="rId14" w:history="1">
        <w:r w:rsidRPr="006B0F7E">
          <w:rPr>
            <w:rStyle w:val="Hyperlink"/>
          </w:rPr>
          <w:t>SI was closed</w:t>
        </w:r>
      </w:hyperlink>
      <w:r w:rsidRPr="003A1D28">
        <w:t xml:space="preserve"> </w:t>
      </w:r>
      <w:r>
        <w:t xml:space="preserve">in </w:t>
      </w:r>
      <w:r w:rsidRPr="003A1D28">
        <w:t xml:space="preserve">RAN98e and it was </w:t>
      </w:r>
      <w:hyperlink r:id="rId15" w:history="1">
        <w:r w:rsidRPr="0007687E">
          <w:rPr>
            <w:rStyle w:val="Hyperlink"/>
          </w:rPr>
          <w:t>agreed</w:t>
        </w:r>
      </w:hyperlink>
      <w:r w:rsidR="006B0F7E">
        <w:t xml:space="preserve"> that</w:t>
      </w:r>
      <w:r>
        <w:t>:</w:t>
      </w:r>
    </w:p>
    <w:p w14:paraId="44152ACD"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2.1</w:t>
      </w:r>
    </w:p>
    <w:p w14:paraId="7B17C1E0"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3A1D28">
        <w:t>RAN to start a normative phase on network verified UE location.</w:t>
      </w:r>
    </w:p>
    <w:p w14:paraId="5975B28C"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3A1D28">
        <w:t>Note: network verified UE location is an optional UE feature</w:t>
      </w:r>
    </w:p>
    <w:p w14:paraId="134F8E96"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2.2 (normative objectives – core part)</w:t>
      </w:r>
    </w:p>
    <w:p w14:paraId="6E1DCF48"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3A1D28">
        <w:t xml:space="preserve">Based on RAN1 conclusions of the study phase, </w:t>
      </w:r>
      <w:r w:rsidRPr="008C641D">
        <w:rPr>
          <w:highlight w:val="yellow"/>
        </w:rPr>
        <w:t>RAN to prioritize the specification of necessary enhancements to multi-RTT to support the network verified UE location in NTN assuming a single satellite in view [RAN1, 2, 3, 4].</w:t>
      </w:r>
      <w:r w:rsidRPr="003A1D28">
        <w:t xml:space="preserve"> DL-</w:t>
      </w:r>
      <w:proofErr w:type="spellStart"/>
      <w:r w:rsidRPr="003A1D28">
        <w:t>TDoA</w:t>
      </w:r>
      <w:proofErr w:type="spellEnd"/>
      <w:r w:rsidRPr="003A1D28">
        <w:t xml:space="preserve"> methods for verification may be considered as lower priority and if time permits and condition in Note is satisfied.</w:t>
      </w:r>
    </w:p>
    <w:p w14:paraId="08A5DF3E"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2.2bis (normative objectives – clarification notes part)</w:t>
      </w:r>
    </w:p>
    <w:p w14:paraId="5E71F828"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3A1D28">
        <w:t>Note 1: Enhancements assume reuse of the RAT dependent positioning framework</w:t>
      </w:r>
    </w:p>
    <w:p w14:paraId="5549FDEE"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3A1D28">
        <w:t>Note 2: The specification of DL-TDOA enhancements will be subject to the study of the impact of realistic UE clock drift onto DL-TDOA performance</w:t>
      </w:r>
    </w:p>
    <w:p w14:paraId="129F86C7"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3A1D28">
        <w:t>Note 3: The target accuracy for position verification purposes is as documented in clause « recommendations » of the 3GPP TR 38.882 (i.e. 10 km granularity)</w:t>
      </w:r>
    </w:p>
    <w:p w14:paraId="0D0248AD"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8C641D">
        <w:rPr>
          <w:highlight w:val="yellow"/>
        </w:rPr>
        <w:t>Note 4 : Multiple satellite in view by the UE may be considered if time allows</w:t>
      </w:r>
    </w:p>
    <w:p w14:paraId="2BAADA28"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3A1D28">
        <w:t>Note 5 : The enhancements may be subject to relevant SA WGs (e.g. SA3/SA3-LI) feedbacks on the reliability of UE reports involved</w:t>
      </w:r>
    </w:p>
    <w:p w14:paraId="54800B0B" w14:textId="77777777" w:rsidR="007A00EC" w:rsidRPr="003A1D28" w:rsidRDefault="007A00EC" w:rsidP="007A00EC">
      <w:pPr>
        <w:pBdr>
          <w:top w:val="single" w:sz="4" w:space="1" w:color="auto"/>
          <w:left w:val="single" w:sz="4" w:space="4" w:color="auto"/>
          <w:bottom w:val="single" w:sz="4" w:space="1" w:color="auto"/>
          <w:right w:val="single" w:sz="4" w:space="4" w:color="auto"/>
        </w:pBdr>
        <w:spacing w:line="276" w:lineRule="auto"/>
        <w:jc w:val="both"/>
      </w:pPr>
      <w:r w:rsidRPr="008C641D">
        <w:rPr>
          <w:highlight w:val="yellow"/>
        </w:rPr>
        <w:lastRenderedPageBreak/>
        <w:t>Note 6 : The enhancements should take into account the mirror-image ambiguity</w:t>
      </w:r>
    </w:p>
    <w:p w14:paraId="568AB120" w14:textId="7BA4DEE1" w:rsidR="0038189D" w:rsidRDefault="0038189D" w:rsidP="009339CB">
      <w:r>
        <w:t xml:space="preserve">Furthermore, in </w:t>
      </w:r>
      <w:hyperlink r:id="rId16" w:history="1">
        <w:r w:rsidRPr="00241EF9">
          <w:rPr>
            <w:rStyle w:val="Hyperlink"/>
          </w:rPr>
          <w:t>RAN2#120</w:t>
        </w:r>
      </w:hyperlink>
      <w:r>
        <w:t xml:space="preserve">, </w:t>
      </w:r>
      <w:r w:rsidR="001F2089">
        <w:t>the following were agreed</w:t>
      </w:r>
      <w:r w:rsidR="005A4EE3">
        <w:t>.</w:t>
      </w:r>
    </w:p>
    <w:p w14:paraId="6EE58793" w14:textId="77777777" w:rsidR="001F2089" w:rsidRDefault="001F2089" w:rsidP="001F2089">
      <w:pPr>
        <w:pStyle w:val="Doc-text2"/>
        <w:pBdr>
          <w:top w:val="single" w:sz="4" w:space="1" w:color="auto"/>
          <w:left w:val="single" w:sz="4" w:space="4" w:color="auto"/>
          <w:bottom w:val="single" w:sz="4" w:space="1" w:color="auto"/>
          <w:right w:val="single" w:sz="4" w:space="4" w:color="auto"/>
        </w:pBdr>
        <w:ind w:left="363"/>
      </w:pPr>
      <w:r>
        <w:t>Agreements:</w:t>
      </w:r>
    </w:p>
    <w:p w14:paraId="768EFE4C" w14:textId="77777777" w:rsidR="001F2089" w:rsidRDefault="001F2089" w:rsidP="001F2089">
      <w:pPr>
        <w:pStyle w:val="Doc-text2"/>
        <w:numPr>
          <w:ilvl w:val="0"/>
          <w:numId w:val="11"/>
        </w:numPr>
        <w:pBdr>
          <w:top w:val="single" w:sz="4" w:space="1" w:color="auto"/>
          <w:left w:val="single" w:sz="4" w:space="4" w:color="auto"/>
          <w:bottom w:val="single" w:sz="4" w:space="1" w:color="auto"/>
          <w:right w:val="single" w:sz="4" w:space="4" w:color="auto"/>
        </w:pBdr>
        <w:ind w:left="360"/>
      </w:pPr>
      <w:r>
        <w:t>From RAN2 point of view, assuming the NW may allow the UEs access to services before verifying the UE reported location, the latency of the NW verification can be handled by the NW.</w:t>
      </w:r>
    </w:p>
    <w:p w14:paraId="05ECF7A7" w14:textId="77777777" w:rsidR="001F2089" w:rsidRDefault="001F2089" w:rsidP="0012562F">
      <w:pPr>
        <w:pStyle w:val="Doc-comment"/>
        <w:pBdr>
          <w:top w:val="single" w:sz="4" w:space="1" w:color="auto"/>
          <w:left w:val="single" w:sz="4" w:space="4" w:color="auto"/>
          <w:bottom w:val="single" w:sz="4" w:space="1" w:color="auto"/>
          <w:right w:val="single" w:sz="4" w:space="4" w:color="auto"/>
        </w:pBdr>
        <w:ind w:left="363"/>
        <w:rPr>
          <w:i w:val="0"/>
        </w:rPr>
      </w:pPr>
    </w:p>
    <w:p w14:paraId="33E23DE4" w14:textId="55505580" w:rsidR="0012562F" w:rsidRDefault="0012562F" w:rsidP="0012562F">
      <w:pPr>
        <w:pStyle w:val="Doc-comment"/>
        <w:pBdr>
          <w:top w:val="single" w:sz="4" w:space="1" w:color="auto"/>
          <w:left w:val="single" w:sz="4" w:space="4" w:color="auto"/>
          <w:bottom w:val="single" w:sz="4" w:space="1" w:color="auto"/>
          <w:right w:val="single" w:sz="4" w:space="4" w:color="auto"/>
        </w:pBdr>
        <w:ind w:left="363"/>
        <w:rPr>
          <w:i w:val="0"/>
        </w:rPr>
      </w:pPr>
      <w:r>
        <w:rPr>
          <w:i w:val="0"/>
        </w:rPr>
        <w:t>Agreements:</w:t>
      </w:r>
    </w:p>
    <w:p w14:paraId="096D3504" w14:textId="77777777" w:rsidR="0012562F" w:rsidRDefault="0012562F" w:rsidP="0012562F">
      <w:pPr>
        <w:pStyle w:val="Doc-comment"/>
        <w:numPr>
          <w:ilvl w:val="0"/>
          <w:numId w:val="10"/>
        </w:numPr>
        <w:pBdr>
          <w:top w:val="single" w:sz="4" w:space="1" w:color="auto"/>
          <w:left w:val="single" w:sz="4" w:space="4" w:color="auto"/>
          <w:bottom w:val="single" w:sz="4" w:space="1" w:color="auto"/>
          <w:right w:val="single" w:sz="4" w:space="4" w:color="auto"/>
        </w:pBdr>
        <w:ind w:left="360"/>
        <w:rPr>
          <w:i w:val="0"/>
        </w:rPr>
      </w:pPr>
      <w:r w:rsidRPr="009E12A9">
        <w:rPr>
          <w:i w:val="0"/>
        </w:rPr>
        <w:t xml:space="preserve">RAN2 agrees the re-use of the LCS framework of the LMF for the network verification of UE reported location information in NTN. </w:t>
      </w:r>
    </w:p>
    <w:p w14:paraId="3D977E1F" w14:textId="77777777" w:rsidR="0012562F" w:rsidRPr="009E12A9" w:rsidRDefault="0012562F" w:rsidP="0012562F">
      <w:pPr>
        <w:pStyle w:val="Doc-comment"/>
        <w:numPr>
          <w:ilvl w:val="0"/>
          <w:numId w:val="10"/>
        </w:numPr>
        <w:pBdr>
          <w:top w:val="single" w:sz="4" w:space="1" w:color="auto"/>
          <w:left w:val="single" w:sz="4" w:space="4" w:color="auto"/>
          <w:bottom w:val="single" w:sz="4" w:space="1" w:color="auto"/>
          <w:right w:val="single" w:sz="4" w:space="4" w:color="auto"/>
        </w:pBdr>
        <w:ind w:left="360"/>
        <w:rPr>
          <w:i w:val="0"/>
        </w:rPr>
      </w:pPr>
      <w:r w:rsidRPr="009E12A9">
        <w:rPr>
          <w:i w:val="0"/>
        </w:rPr>
        <w:t xml:space="preserve">RAN2 will work on the details of radio protocol aspects of the verification procedure based on the solution investigated by RAN1 </w:t>
      </w:r>
    </w:p>
    <w:p w14:paraId="3441D5B0" w14:textId="77777777" w:rsidR="0012562F" w:rsidRDefault="0012562F" w:rsidP="009339CB"/>
    <w:p w14:paraId="3B353D61" w14:textId="419C59E7" w:rsidR="00430C4F" w:rsidRDefault="00FA76B6" w:rsidP="009339CB">
      <w:r>
        <w:t>This paper focus</w:t>
      </w:r>
      <w:r w:rsidR="0038514B">
        <w:t xml:space="preserve">es on analysing </w:t>
      </w:r>
      <w:r w:rsidR="00CF22EC">
        <w:t xml:space="preserve">RAN2 protocol aspects based on the prioritised method of using multi-RTT to </w:t>
      </w:r>
      <w:r w:rsidR="00B32112">
        <w:t>support the network verified UE location in NTN.</w:t>
      </w:r>
    </w:p>
    <w:p w14:paraId="7D484B6E" w14:textId="149299DA" w:rsidR="009339CB" w:rsidRDefault="009339CB" w:rsidP="009339CB">
      <w:pPr>
        <w:pStyle w:val="Heading1"/>
      </w:pPr>
      <w:r w:rsidRPr="006E13D1">
        <w:t>2</w:t>
      </w:r>
      <w:r w:rsidRPr="006E13D1">
        <w:tab/>
      </w:r>
      <w:r w:rsidR="007B4B3A">
        <w:t>Discussion</w:t>
      </w:r>
    </w:p>
    <w:p w14:paraId="361BA025" w14:textId="54689355" w:rsidR="006D5098" w:rsidRDefault="006D5098" w:rsidP="006D5098">
      <w:pPr>
        <w:pStyle w:val="Heading2"/>
      </w:pPr>
      <w:r>
        <w:t xml:space="preserve">2.1 </w:t>
      </w:r>
      <w:r w:rsidR="00A07F02">
        <w:t xml:space="preserve">Considerations on </w:t>
      </w:r>
      <w:proofErr w:type="spellStart"/>
      <w:r w:rsidR="00A07F02">
        <w:t>dillusion</w:t>
      </w:r>
      <w:proofErr w:type="spellEnd"/>
      <w:r w:rsidR="00A07F02">
        <w:t xml:space="preserve"> of precision</w:t>
      </w:r>
    </w:p>
    <w:p w14:paraId="63667C77" w14:textId="33B6AAA0" w:rsidR="006461BD" w:rsidRDefault="00F94B8B" w:rsidP="00DE6A68">
      <w:r w:rsidRPr="00F94B8B">
        <w:t xml:space="preserve">In general, one of the problems with triangulation methods is </w:t>
      </w:r>
      <w:proofErr w:type="spellStart"/>
      <w:r w:rsidRPr="00F94B8B">
        <w:t>dillusion</w:t>
      </w:r>
      <w:proofErr w:type="spellEnd"/>
      <w:r w:rsidRPr="00F94B8B">
        <w:t xml:space="preserve"> of precision, </w:t>
      </w:r>
      <w:r w:rsidR="00A25BAB">
        <w:t xml:space="preserve">i.e. </w:t>
      </w:r>
      <w:r w:rsidR="007C1B9A">
        <w:t xml:space="preserve">the </w:t>
      </w:r>
      <w:r w:rsidR="000E752F">
        <w:t>dependency between</w:t>
      </w:r>
      <w:r w:rsidRPr="00F94B8B">
        <w:t xml:space="preserve"> separation of the measurement point</w:t>
      </w:r>
      <w:r w:rsidR="000E752F">
        <w:t>s</w:t>
      </w:r>
      <w:r w:rsidR="00AB15AD">
        <w:t xml:space="preserve"> and precision</w:t>
      </w:r>
      <w:r w:rsidRPr="00F94B8B">
        <w:t xml:space="preserve">. With the approach of using only a single satellite, the measurement samples that are available will be located on a single line which is described by the </w:t>
      </w:r>
      <w:r w:rsidR="00AB15AD" w:rsidRPr="00F94B8B">
        <w:t>satellite</w:t>
      </w:r>
      <w:r w:rsidR="0085461A">
        <w:t>’</w:t>
      </w:r>
      <w:r w:rsidR="00AB15AD" w:rsidRPr="00F94B8B">
        <w:t>s</w:t>
      </w:r>
      <w:r w:rsidRPr="00F94B8B">
        <w:t xml:space="preserve"> path during the fly-over. This reduction of the “space” when limiting to a single satellite monitoring will reduce the general accuracy. </w:t>
      </w:r>
      <w:r w:rsidR="005D0E9F" w:rsidRPr="00F94B8B">
        <w:t>On top of this, the current main assumed methods of multi-RTT and DL/UL-TDOA will be solely based on a rough estimation of the round</w:t>
      </w:r>
      <w:r w:rsidR="00FC06DE">
        <w:t xml:space="preserve"> </w:t>
      </w:r>
      <w:r w:rsidR="005D0E9F" w:rsidRPr="00F94B8B">
        <w:t>trip time between the UE and the satellite. Such estimation is relying on the propagation delay or round-trip delay being mapped into a distance travelled for the radio signal.</w:t>
      </w:r>
      <w:r w:rsidR="005D0E9F">
        <w:t xml:space="preserve"> </w:t>
      </w:r>
      <w:r w:rsidR="00F97B54">
        <w:t>One factor of importance</w:t>
      </w:r>
      <w:r w:rsidR="008576E7">
        <w:t xml:space="preserve"> is</w:t>
      </w:r>
      <w:r w:rsidR="004B7301">
        <w:t xml:space="preserve"> the </w:t>
      </w:r>
      <w:r w:rsidR="008576E7">
        <w:t xml:space="preserve">configured </w:t>
      </w:r>
      <w:r w:rsidR="00FA7AC9">
        <w:t>perio</w:t>
      </w:r>
      <w:r w:rsidR="00EC5E45">
        <w:t xml:space="preserve">dicity of the </w:t>
      </w:r>
      <w:r w:rsidR="00B4277C">
        <w:t xml:space="preserve">RTT measurements </w:t>
      </w:r>
      <w:r w:rsidR="00EC5E45">
        <w:t>reports from the UE</w:t>
      </w:r>
      <w:r w:rsidR="0081034E">
        <w:t xml:space="preserve">, since this will </w:t>
      </w:r>
      <w:r w:rsidR="00D603D3">
        <w:t xml:space="preserve">be a factor contributing to the </w:t>
      </w:r>
      <w:r w:rsidR="00C36DAC">
        <w:t>accuracy</w:t>
      </w:r>
      <w:r w:rsidR="00FC06DE">
        <w:t>.</w:t>
      </w:r>
    </w:p>
    <w:p w14:paraId="46820EF6" w14:textId="23B8731E" w:rsidR="00AB15AD" w:rsidRDefault="0080062E" w:rsidP="00DE6A68">
      <w:r>
        <w:t>Generally, two options are of interest when discussing the configured periodicity.</w:t>
      </w:r>
    </w:p>
    <w:p w14:paraId="1F3FDF10" w14:textId="5D59AC8F" w:rsidR="0080062E" w:rsidRDefault="007B341F" w:rsidP="0080062E">
      <w:pPr>
        <w:pStyle w:val="ListParagraph"/>
        <w:numPr>
          <w:ilvl w:val="0"/>
          <w:numId w:val="12"/>
        </w:numPr>
      </w:pPr>
      <w:r>
        <w:t xml:space="preserve">Round trip time measurements </w:t>
      </w:r>
      <w:r w:rsidR="00AD251B">
        <w:t>are performed on the</w:t>
      </w:r>
      <w:r w:rsidR="004474CC">
        <w:t xml:space="preserve"> </w:t>
      </w:r>
      <w:r w:rsidR="00904865">
        <w:t xml:space="preserve">serving cell over a short period of time, as to </w:t>
      </w:r>
      <w:r w:rsidR="00B830C1">
        <w:t xml:space="preserve">ensure low latency </w:t>
      </w:r>
      <w:r w:rsidR="008A2341">
        <w:t>verification.</w:t>
      </w:r>
    </w:p>
    <w:p w14:paraId="1A14A17C" w14:textId="543DDCE3" w:rsidR="001F30F1" w:rsidRDefault="00B830C1" w:rsidP="00084111">
      <w:pPr>
        <w:pStyle w:val="ListParagraph"/>
        <w:numPr>
          <w:ilvl w:val="0"/>
          <w:numId w:val="12"/>
        </w:numPr>
      </w:pPr>
      <w:r>
        <w:t>Round trip time measurements are performed</w:t>
      </w:r>
      <w:r w:rsidR="00904865">
        <w:t xml:space="preserve"> for one, or more, serving cells over a long period of time</w:t>
      </w:r>
      <w:r w:rsidR="003F6B8E">
        <w:t xml:space="preserve"> as to account for the required accuracy of the </w:t>
      </w:r>
      <w:r w:rsidR="00084111">
        <w:t>calculated location.</w:t>
      </w:r>
    </w:p>
    <w:p w14:paraId="4D8D7245" w14:textId="6AE8F512" w:rsidR="00992F35" w:rsidRDefault="00D43A41" w:rsidP="00992F35">
      <w:r>
        <w:t xml:space="preserve">As for the first option, the issue is that the accuracy </w:t>
      </w:r>
      <w:r w:rsidR="007105DE">
        <w:t>may not be suitable for the verification procedure</w:t>
      </w:r>
      <w:r w:rsidR="0032061F">
        <w:t xml:space="preserve"> as the position of the satellite may not have changed significantly</w:t>
      </w:r>
      <w:r w:rsidR="006B5665">
        <w:t>, whereas the second option will induce some latency to the procedure</w:t>
      </w:r>
      <w:r w:rsidR="00992F35">
        <w:t xml:space="preserve">. In RAN2#119 an </w:t>
      </w:r>
      <w:hyperlink r:id="rId17" w:history="1">
        <w:r w:rsidR="00992F35" w:rsidRPr="00253B86">
          <w:rPr>
            <w:rStyle w:val="Hyperlink"/>
          </w:rPr>
          <w:t>LS were sent</w:t>
        </w:r>
      </w:hyperlink>
      <w:r w:rsidR="00992F35">
        <w:t xml:space="preserve"> to SA1 and SA2 requesting whether there was any constraint on the latency of the verification procedure, and whether the procedure could be run independently. In the reply </w:t>
      </w:r>
      <w:r w:rsidR="00992F35" w:rsidRPr="0007687E">
        <w:t xml:space="preserve">LS </w:t>
      </w:r>
      <w:hyperlink r:id="rId18" w:history="1">
        <w:r w:rsidR="00992F35" w:rsidRPr="00911F33">
          <w:rPr>
            <w:rStyle w:val="Hyperlink"/>
            <w:rFonts w:cstheme="minorHAnsi"/>
          </w:rPr>
          <w:t>S1-223539</w:t>
        </w:r>
      </w:hyperlink>
      <w:r w:rsidR="00992F35" w:rsidRPr="006461BD">
        <w:t xml:space="preserve"> SA</w:t>
      </w:r>
      <w:r w:rsidR="00992F35">
        <w:t xml:space="preserve">1 answers </w:t>
      </w:r>
    </w:p>
    <w:tbl>
      <w:tblPr>
        <w:tblStyle w:val="TableGrid"/>
        <w:tblW w:w="0" w:type="auto"/>
        <w:tblLook w:val="04A0" w:firstRow="1" w:lastRow="0" w:firstColumn="1" w:lastColumn="0" w:noHBand="0" w:noVBand="1"/>
      </w:tblPr>
      <w:tblGrid>
        <w:gridCol w:w="9631"/>
      </w:tblGrid>
      <w:tr w:rsidR="00992F35" w14:paraId="6105D2F3" w14:textId="77777777" w:rsidTr="005B57DF">
        <w:tc>
          <w:tcPr>
            <w:tcW w:w="9631" w:type="dxa"/>
          </w:tcPr>
          <w:p w14:paraId="46659164" w14:textId="77777777" w:rsidR="00992F35" w:rsidRDefault="00992F35" w:rsidP="005B57DF">
            <w:pPr>
              <w:rPr>
                <w:b/>
                <w:i/>
                <w:iCs/>
              </w:rPr>
            </w:pPr>
            <w:r>
              <w:rPr>
                <w:b/>
                <w:i/>
                <w:iCs/>
              </w:rPr>
              <w:t>-</w:t>
            </w:r>
            <w:r>
              <w:rPr>
                <w:b/>
                <w:i/>
                <w:iCs/>
                <w:lang w:eastAsia="zh-CN"/>
              </w:rPr>
              <w:t>Q1:</w:t>
            </w:r>
            <w:r>
              <w:rPr>
                <w:b/>
                <w:i/>
                <w:iCs/>
              </w:rPr>
              <w:tab/>
              <w:t>Is there any constraint on the latency (from trigger to result) of the verification procedure?</w:t>
            </w:r>
          </w:p>
          <w:p w14:paraId="41878F61" w14:textId="77777777" w:rsidR="00992F35" w:rsidRDefault="00992F35" w:rsidP="005B57DF">
            <w:pPr>
              <w:rPr>
                <w:i/>
                <w:noProof/>
              </w:rPr>
            </w:pPr>
            <w:r>
              <w:rPr>
                <w:b/>
                <w:bCs/>
              </w:rPr>
              <w:t xml:space="preserve">Answer from SA1: </w:t>
            </w:r>
            <w:r w:rsidRPr="00C30C1D">
              <w:rPr>
                <w:bCs/>
                <w:highlight w:val="yellow"/>
              </w:rPr>
              <w:t>There are no related 3GPP SA1 requirements</w:t>
            </w:r>
            <w:r>
              <w:rPr>
                <w:bCs/>
              </w:rPr>
              <w:t>.</w:t>
            </w:r>
          </w:p>
          <w:p w14:paraId="08946537" w14:textId="77777777" w:rsidR="00992F35" w:rsidRDefault="00992F35" w:rsidP="005B57DF">
            <w:pPr>
              <w:rPr>
                <w:b/>
                <w:bCs/>
              </w:rPr>
            </w:pPr>
          </w:p>
          <w:p w14:paraId="3FFBB4D0" w14:textId="77777777" w:rsidR="00992F35" w:rsidRDefault="00992F35" w:rsidP="005B57DF">
            <w:pPr>
              <w:rPr>
                <w:b/>
                <w:i/>
                <w:iCs/>
              </w:rPr>
            </w:pPr>
            <w:r>
              <w:rPr>
                <w:b/>
                <w:i/>
                <w:iCs/>
              </w:rPr>
              <w:t>-</w:t>
            </w:r>
            <w:r>
              <w:rPr>
                <w:b/>
                <w:i/>
                <w:iCs/>
                <w:lang w:eastAsia="zh-CN"/>
              </w:rPr>
              <w:t>Q2:</w:t>
            </w:r>
            <w:r>
              <w:rPr>
                <w:b/>
                <w:i/>
                <w:iCs/>
              </w:rPr>
              <w:tab/>
              <w:t>Can the verification procedure be run independently from the targeted services (e.g. in parallel to prevent any set-up delay)? If not, what is the estimate of set-up delay?</w:t>
            </w:r>
          </w:p>
          <w:p w14:paraId="3654747E" w14:textId="77777777" w:rsidR="00992F35" w:rsidRPr="00C30C1D" w:rsidRDefault="00992F35" w:rsidP="005B57DF">
            <w:r>
              <w:rPr>
                <w:b/>
                <w:bCs/>
              </w:rPr>
              <w:t xml:space="preserve">Answer from SA1: </w:t>
            </w:r>
            <w:r w:rsidRPr="00C30C1D">
              <w:rPr>
                <w:bCs/>
                <w:highlight w:val="yellow"/>
              </w:rPr>
              <w:t>Yes</w:t>
            </w:r>
          </w:p>
        </w:tc>
      </w:tr>
    </w:tbl>
    <w:p w14:paraId="3F252FA9" w14:textId="377A9190" w:rsidR="004A09EB" w:rsidRDefault="004A09EB" w:rsidP="00084111"/>
    <w:p w14:paraId="0A5786FE" w14:textId="1B1468E0" w:rsidR="00D43A41" w:rsidRDefault="00142BB8" w:rsidP="00084111">
      <w:r>
        <w:t xml:space="preserve">Likewise, </w:t>
      </w:r>
      <w:hyperlink r:id="rId19" w:history="1">
        <w:r w:rsidRPr="00E36041">
          <w:rPr>
            <w:rStyle w:val="Hyperlink"/>
          </w:rPr>
          <w:t>SA2 replie</w:t>
        </w:r>
        <w:r w:rsidR="00E36041" w:rsidRPr="00E36041">
          <w:rPr>
            <w:rStyle w:val="Hyperlink"/>
          </w:rPr>
          <w:t>d</w:t>
        </w:r>
      </w:hyperlink>
      <w:r w:rsidR="00742461">
        <w:t xml:space="preserve"> </w:t>
      </w:r>
      <w:r w:rsidR="00E36041" w:rsidRPr="00911F33">
        <w:t>that SA2 requests that location verification be capable of being completed within a period of approximately 1 minute maximum and 30 seconds preferably</w:t>
      </w:r>
      <w:r w:rsidR="00E36041">
        <w:t xml:space="preserve">. </w:t>
      </w:r>
      <w:r w:rsidR="00992F35">
        <w:t>Since SA1 does not see any restrictions</w:t>
      </w:r>
      <w:r w:rsidR="006B5665">
        <w:t xml:space="preserve"> on the latency</w:t>
      </w:r>
      <w:r w:rsidR="0009254B">
        <w:t>,</w:t>
      </w:r>
      <w:r w:rsidR="00E36041">
        <w:t xml:space="preserve"> and SA2 assumes the latency of up to one minute,</w:t>
      </w:r>
      <w:r w:rsidR="0009254B">
        <w:t xml:space="preserve"> RAN2 should </w:t>
      </w:r>
      <w:r w:rsidR="00CC10AE">
        <w:t xml:space="preserve">not target procedures which </w:t>
      </w:r>
      <w:r w:rsidR="00812B98">
        <w:t>greatly exceeds these requirements, but rather prioritise procedures with high accuracy which fits within the assumed latency constraint of up to 1 minute.</w:t>
      </w:r>
    </w:p>
    <w:p w14:paraId="0DAB2DCD" w14:textId="5EC3AF57" w:rsidR="00812B98" w:rsidRDefault="00812B98" w:rsidP="00084111">
      <w:pPr>
        <w:rPr>
          <w:b/>
          <w:bCs/>
        </w:rPr>
      </w:pPr>
      <w:r w:rsidRPr="00911F33">
        <w:rPr>
          <w:b/>
          <w:bCs/>
        </w:rPr>
        <w:lastRenderedPageBreak/>
        <w:t>Proposal 1:</w:t>
      </w:r>
      <w:r>
        <w:rPr>
          <w:b/>
          <w:bCs/>
        </w:rPr>
        <w:t xml:space="preserve"> RAN2 to </w:t>
      </w:r>
      <w:r w:rsidR="00961ADF">
        <w:rPr>
          <w:b/>
          <w:bCs/>
        </w:rPr>
        <w:t xml:space="preserve">ensure </w:t>
      </w:r>
      <w:r w:rsidR="00703256">
        <w:rPr>
          <w:b/>
          <w:bCs/>
        </w:rPr>
        <w:t xml:space="preserve">for a single satellite scenario that </w:t>
      </w:r>
      <w:r w:rsidR="00961ADF">
        <w:rPr>
          <w:b/>
          <w:bCs/>
        </w:rPr>
        <w:t xml:space="preserve">the </w:t>
      </w:r>
      <w:r w:rsidR="00AC5A2E">
        <w:rPr>
          <w:b/>
          <w:bCs/>
        </w:rPr>
        <w:t xml:space="preserve">configuration of round trip time measurement </w:t>
      </w:r>
      <w:r w:rsidR="00961ADF">
        <w:rPr>
          <w:b/>
          <w:bCs/>
        </w:rPr>
        <w:t xml:space="preserve">prioritise </w:t>
      </w:r>
      <w:r w:rsidR="00C46980">
        <w:rPr>
          <w:b/>
          <w:bCs/>
        </w:rPr>
        <w:t xml:space="preserve">accuracy of the verification procedure as long as the latency </w:t>
      </w:r>
      <w:r w:rsidR="006E6BF8">
        <w:rPr>
          <w:b/>
          <w:bCs/>
        </w:rPr>
        <w:t>falls below SA2s requirement of up to one minute.</w:t>
      </w:r>
    </w:p>
    <w:p w14:paraId="3BC44BDE" w14:textId="77777777" w:rsidR="00FE7C30" w:rsidRDefault="00FE7C30" w:rsidP="00FE7C30">
      <w:pPr>
        <w:jc w:val="both"/>
      </w:pPr>
      <w:r w:rsidRPr="003A1D28">
        <w:t xml:space="preserve">While the objective is that the network can verify the UE position with a single satellite, multiple satellites are not excluded. </w:t>
      </w:r>
      <w:r>
        <w:t>A significant</w:t>
      </w:r>
      <w:r w:rsidRPr="003A1D28">
        <w:t xml:space="preserve"> benefit of using multiple satellites is that the required time to determine the UE location decreases significantly</w:t>
      </w:r>
      <w:r w:rsidRPr="00792A48">
        <w:rPr>
          <w:lang w:val="en-US"/>
        </w:rPr>
        <w:t>,</w:t>
      </w:r>
      <w:r w:rsidRPr="003A1D28">
        <w:t xml:space="preserve"> as the method then does not depend on the movement of a single satellite</w:t>
      </w:r>
      <w:r w:rsidRPr="00792A48">
        <w:rPr>
          <w:lang w:val="en-US"/>
        </w:rPr>
        <w:t>,</w:t>
      </w:r>
      <w:r w:rsidRPr="003A1D28">
        <w:t xml:space="preserve"> when there are at least 3 satellites in view. Even with 2 satellites the required time is lowered significantly. At the same time the number of satellites - especially in low orbits - is increasing significantly and satellite systems grow in number of satellites, like for instance </w:t>
      </w:r>
      <w:proofErr w:type="spellStart"/>
      <w:r w:rsidRPr="003A1D28">
        <w:t>Starlink</w:t>
      </w:r>
      <w:proofErr w:type="spellEnd"/>
      <w:r w:rsidRPr="003A1D28">
        <w:t xml:space="preserve"> and </w:t>
      </w:r>
      <w:proofErr w:type="spellStart"/>
      <w:r w:rsidRPr="003A1D28">
        <w:t>OneWeb</w:t>
      </w:r>
      <w:proofErr w:type="spellEnd"/>
      <w:r w:rsidRPr="003A1D28">
        <w:t xml:space="preserve"> show.</w:t>
      </w:r>
    </w:p>
    <w:p w14:paraId="749F6427" w14:textId="1422D0A4" w:rsidR="00FE7C30" w:rsidRPr="00792A48" w:rsidRDefault="00FE7C30" w:rsidP="00FE7C30">
      <w:pPr>
        <w:jc w:val="both"/>
        <w:rPr>
          <w:b/>
          <w:bCs/>
        </w:rPr>
      </w:pPr>
      <w:r w:rsidRPr="00792A48">
        <w:rPr>
          <w:b/>
          <w:bCs/>
        </w:rPr>
        <w:t xml:space="preserve">Observation </w:t>
      </w:r>
      <w:r w:rsidR="00FE2AF5">
        <w:rPr>
          <w:b/>
          <w:bCs/>
        </w:rPr>
        <w:t>1</w:t>
      </w:r>
      <w:r w:rsidRPr="00792A48">
        <w:rPr>
          <w:b/>
          <w:bCs/>
        </w:rPr>
        <w:t xml:space="preserve">: </w:t>
      </w:r>
      <w:r w:rsidR="00FD6D7F" w:rsidRPr="00792A48">
        <w:rPr>
          <w:b/>
          <w:bCs/>
        </w:rPr>
        <w:t>Similarly,</w:t>
      </w:r>
      <w:r w:rsidRPr="00792A48">
        <w:rPr>
          <w:b/>
          <w:bCs/>
        </w:rPr>
        <w:t xml:space="preserve"> as when other positioning methods are used, using a larger number of uncorrelated space samples will benefit the verification method to estimate the UE location reducing the procedure duration.</w:t>
      </w:r>
    </w:p>
    <w:p w14:paraId="21D22A93" w14:textId="220A2C81" w:rsidR="00FE7C30" w:rsidRPr="003A1D28" w:rsidRDefault="00FE7C30" w:rsidP="00FE7C30">
      <w:pPr>
        <w:jc w:val="both"/>
      </w:pPr>
      <w:r>
        <w:t>Although SA1 does not specify any latency constraints, a</w:t>
      </w:r>
      <w:r w:rsidRPr="003A1D28">
        <w:t xml:space="preserve"> long period of verification is undesired</w:t>
      </w:r>
      <w:r>
        <w:t>. This is true both in the case that the RAN2#120 assumption that the UE may access to services before verifying the UE reported location, as well as in the case this assumption does not hold. In case the UE is allowed to access services before verification, a PLMN may grant access to a disallowed UE, whereas the latency if the UE is not allowed to access the services before verification may make Release-18 NTN undesirable.</w:t>
      </w:r>
    </w:p>
    <w:p w14:paraId="16B80D5D" w14:textId="41BE208F" w:rsidR="00FE7C30" w:rsidRDefault="00FE7C30" w:rsidP="00FE7C30">
      <w:pPr>
        <w:rPr>
          <w:b/>
        </w:rPr>
      </w:pPr>
      <w:r w:rsidRPr="00792A48">
        <w:rPr>
          <w:b/>
        </w:rPr>
        <w:t xml:space="preserve">Observation </w:t>
      </w:r>
      <w:r w:rsidR="00FE2AF5">
        <w:rPr>
          <w:b/>
        </w:rPr>
        <w:t>2</w:t>
      </w:r>
      <w:r w:rsidRPr="00792A48">
        <w:rPr>
          <w:b/>
        </w:rPr>
        <w:t>:</w:t>
      </w:r>
      <w:r>
        <w:rPr>
          <w:b/>
        </w:rPr>
        <w:t xml:space="preserve"> Low latency UE verification procedure is preferred for either the case where the UE is allowed to access services before verification, or not.</w:t>
      </w:r>
    </w:p>
    <w:p w14:paraId="2DE578F6" w14:textId="6B20EA42" w:rsidR="00FE7C30" w:rsidRPr="00792A48" w:rsidRDefault="00FE7C30" w:rsidP="00FE7C30">
      <w:pPr>
        <w:rPr>
          <w:b/>
        </w:rPr>
      </w:pPr>
      <w:r w:rsidRPr="00792A48">
        <w:rPr>
          <w:b/>
        </w:rPr>
        <w:t xml:space="preserve">Observation </w:t>
      </w:r>
      <w:r w:rsidR="00FE2AF5">
        <w:rPr>
          <w:b/>
        </w:rPr>
        <w:t>3</w:t>
      </w:r>
      <w:r w:rsidRPr="00792A48">
        <w:rPr>
          <w:b/>
        </w:rPr>
        <w:t>: The benefit of using multiple satellites is that the required time for determining the UE position decreases significantly</w:t>
      </w:r>
      <w:r w:rsidRPr="003A1D28">
        <w:rPr>
          <w:b/>
        </w:rPr>
        <w:t>.</w:t>
      </w:r>
    </w:p>
    <w:p w14:paraId="575E367B" w14:textId="77777777" w:rsidR="00FE7C30" w:rsidRPr="003A1D28" w:rsidRDefault="00FE7C30" w:rsidP="00FE7C30">
      <w:pPr>
        <w:jc w:val="both"/>
      </w:pPr>
      <w:r w:rsidRPr="003A1D28">
        <w:t>When just one satellite is used the question can be asked whether one cell is used or multiple cells. In case of Earth Fixed Cells (EFC) and ignoring UE movement the UE may only be connected/camping on a single satellite during the fly over of that satellite. However if the system is using Earth Moving Cells (EMC) or the UE is moving a UE maybe connected to several cells. At the same time the UE may be able to perform radio measurements in either case to neighbour cells at the same satellite, which may help solving the mirror problem.</w:t>
      </w:r>
    </w:p>
    <w:p w14:paraId="545CE09A" w14:textId="535E37EE" w:rsidR="00FE7C30" w:rsidRDefault="00FE7C30" w:rsidP="00FE7C30">
      <w:pPr>
        <w:rPr>
          <w:b/>
        </w:rPr>
      </w:pPr>
      <w:r w:rsidRPr="003A1D28">
        <w:rPr>
          <w:b/>
        </w:rPr>
        <w:t xml:space="preserve">Observation </w:t>
      </w:r>
      <w:r w:rsidR="00FE2AF5">
        <w:rPr>
          <w:b/>
        </w:rPr>
        <w:t>4</w:t>
      </w:r>
      <w:r w:rsidRPr="003A1D28">
        <w:rPr>
          <w:b/>
        </w:rPr>
        <w:t>: A UE may be connected/camping on different cells during fly over of the satellite and can measure the signal levels of the neighbouring cells.</w:t>
      </w:r>
    </w:p>
    <w:p w14:paraId="0A215E92" w14:textId="77777777" w:rsidR="00FE7C30" w:rsidRPr="00792A48" w:rsidRDefault="00FE7C30" w:rsidP="00FE7C30">
      <w:pPr>
        <w:rPr>
          <w:b/>
        </w:rPr>
      </w:pPr>
      <w:r>
        <w:rPr>
          <w:bCs/>
        </w:rPr>
        <w:t xml:space="preserve">Although RAN1 is working on the procedures for the verification procedures, RAN2s solutions should not preclude the usage of multiple satellites. Thus, irrespectively of RAN1 progress, RAN2 solutions should include the support of multiple </w:t>
      </w:r>
      <w:proofErr w:type="spellStart"/>
      <w:r>
        <w:rPr>
          <w:bCs/>
        </w:rPr>
        <w:t>satelites</w:t>
      </w:r>
      <w:proofErr w:type="spellEnd"/>
      <w:r>
        <w:rPr>
          <w:bCs/>
        </w:rPr>
        <w:t>.</w:t>
      </w:r>
    </w:p>
    <w:p w14:paraId="5659AB6C" w14:textId="7E67683E" w:rsidR="00FE7C30" w:rsidRPr="00911F33" w:rsidRDefault="00FE7C30" w:rsidP="00084111">
      <w:pPr>
        <w:rPr>
          <w:b/>
          <w:lang w:val="en-US"/>
        </w:rPr>
      </w:pPr>
      <w:r>
        <w:rPr>
          <w:b/>
          <w:lang w:val="en-US"/>
        </w:rPr>
        <w:t xml:space="preserve">Proposal </w:t>
      </w:r>
      <w:r w:rsidR="00FE2AF5">
        <w:rPr>
          <w:b/>
          <w:lang w:val="en-US"/>
        </w:rPr>
        <w:t>2</w:t>
      </w:r>
      <w:r>
        <w:rPr>
          <w:b/>
          <w:lang w:val="en-US"/>
        </w:rPr>
        <w:t>: RAN2 agree to include support of multiple satellite support for multi-RTT in the specification work.</w:t>
      </w:r>
    </w:p>
    <w:p w14:paraId="08F96A8B" w14:textId="4E6270B4" w:rsidR="006D5098" w:rsidRDefault="00C02CD2" w:rsidP="00C02CD2">
      <w:pPr>
        <w:pStyle w:val="Heading2"/>
      </w:pPr>
      <w:r>
        <w:t>2.</w:t>
      </w:r>
      <w:r w:rsidR="00A23F68">
        <w:t>2</w:t>
      </w:r>
      <w:r>
        <w:t xml:space="preserve"> Mirror point issue</w:t>
      </w:r>
    </w:p>
    <w:p w14:paraId="04E31323" w14:textId="11C000BC" w:rsidR="0028344C" w:rsidRDefault="00C02CD2" w:rsidP="00A878EC">
      <w:r>
        <w:t xml:space="preserve">As seen from note 6 in the </w:t>
      </w:r>
      <w:r w:rsidR="00E1448F">
        <w:t xml:space="preserve">agreed WID based on RAN1’s SI, </w:t>
      </w:r>
      <w:r w:rsidR="00E1448F" w:rsidRPr="00E1448F">
        <w:t>The enhancements should take into account the mirror-image ambiguity</w:t>
      </w:r>
      <w:r w:rsidR="00E1448F">
        <w:t>. Generally speaking, the</w:t>
      </w:r>
      <w:r w:rsidR="00F94B8B" w:rsidRPr="00F94B8B">
        <w:t xml:space="preserve"> “mirror images”</w:t>
      </w:r>
      <w:r w:rsidR="00E1448F">
        <w:t xml:space="preserve"> occurs</w:t>
      </w:r>
      <w:r w:rsidR="00F94B8B" w:rsidRPr="00F94B8B">
        <w:t xml:space="preserve"> where two geographical points or areas will show the same physical characteristics when being observed from the satellite’s viewpoint</w:t>
      </w:r>
      <w:r w:rsidR="00FB246C">
        <w:t>, due to the single satellite being on a single orbital line</w:t>
      </w:r>
      <w:r w:rsidR="00F94B8B" w:rsidRPr="00F94B8B">
        <w:t>. These two points or areas will be seen as symmetrical around the orbital plane during the fly-over.</w:t>
      </w:r>
      <w:r w:rsidR="00F153B7">
        <w:t xml:space="preserve"> Such mirror images can be problematic when being used for determining for example the location of a UE</w:t>
      </w:r>
      <w:r w:rsidR="00504948">
        <w:t>.</w:t>
      </w:r>
      <w:r w:rsidR="00F153B7">
        <w:t xml:space="preserve"> </w:t>
      </w:r>
    </w:p>
    <w:p w14:paraId="0965366C" w14:textId="318A8E18" w:rsidR="00082515" w:rsidRDefault="00237CAA" w:rsidP="00C20C6B">
      <w:pPr>
        <w:spacing w:after="0"/>
        <w:rPr>
          <w:b/>
          <w:bCs/>
        </w:rPr>
      </w:pPr>
      <w:r w:rsidRPr="00237CAA">
        <w:rPr>
          <w:b/>
          <w:bCs/>
        </w:rPr>
        <w:t xml:space="preserve">Observation </w:t>
      </w:r>
      <w:r w:rsidR="00B55F7F">
        <w:rPr>
          <w:b/>
          <w:bCs/>
        </w:rPr>
        <w:t>5</w:t>
      </w:r>
      <w:r w:rsidRPr="00237CAA">
        <w:rPr>
          <w:b/>
          <w:bCs/>
          <w:lang w:val="en-US"/>
        </w:rPr>
        <w:t xml:space="preserve">: </w:t>
      </w:r>
      <w:r w:rsidRPr="00237CAA">
        <w:rPr>
          <w:b/>
          <w:bCs/>
        </w:rPr>
        <w:t>RAN1 is studying the mirror image issue</w:t>
      </w:r>
      <w:r w:rsidR="00D17502">
        <w:rPr>
          <w:b/>
          <w:bCs/>
        </w:rPr>
        <w:t xml:space="preserve"> caused by the verification procedure being </w:t>
      </w:r>
      <w:r w:rsidR="00E455DA">
        <w:rPr>
          <w:b/>
          <w:bCs/>
        </w:rPr>
        <w:t>limited to a single orbital plane</w:t>
      </w:r>
      <w:r>
        <w:rPr>
          <w:b/>
          <w:bCs/>
        </w:rPr>
        <w:t>.</w:t>
      </w:r>
    </w:p>
    <w:p w14:paraId="13C4D3E1" w14:textId="77777777" w:rsidR="00237CAA" w:rsidRDefault="00237CAA" w:rsidP="00C20C6B">
      <w:pPr>
        <w:spacing w:after="0"/>
        <w:rPr>
          <w:b/>
          <w:bCs/>
        </w:rPr>
      </w:pPr>
    </w:p>
    <w:p w14:paraId="15605D11" w14:textId="77777777" w:rsidR="008B787D" w:rsidRPr="003A1D28" w:rsidRDefault="008B787D" w:rsidP="008B787D">
      <w:pPr>
        <w:jc w:val="both"/>
      </w:pPr>
      <w:r w:rsidRPr="003A1D28">
        <w:t>In the example below we show how UE measurements can be used to differentiate between the two mirror points for two different cases. The orbital plane is right in the middle of the 7 cells in the vertical direction. The cells have a 50 km diameter and a LEO satellite at 600 km is used. The two cases are as follows:</w:t>
      </w:r>
    </w:p>
    <w:p w14:paraId="2CDF1ED5" w14:textId="77777777" w:rsidR="008B787D" w:rsidRPr="003A1D28" w:rsidRDefault="008B787D" w:rsidP="008B787D">
      <w:r w:rsidRPr="003A1D28">
        <w:t>Case a: UE is 16.7 km away from the orbital plane</w:t>
      </w:r>
    </w:p>
    <w:p w14:paraId="06AE9A10" w14:textId="77777777" w:rsidR="008B787D" w:rsidRPr="003A1D28" w:rsidRDefault="008B787D" w:rsidP="008B787D">
      <w:r w:rsidRPr="003A1D28">
        <w:t xml:space="preserve">Case b: UE is 5.5km away from the orbital plane </w:t>
      </w:r>
    </w:p>
    <w:p w14:paraId="735912A1" w14:textId="77777777" w:rsidR="008B787D" w:rsidRPr="003A1D28" w:rsidRDefault="008B787D" w:rsidP="008B787D"/>
    <w:p w14:paraId="3B2C9AE2" w14:textId="77777777" w:rsidR="008B787D" w:rsidRPr="008F2D42" w:rsidRDefault="008B787D" w:rsidP="008B787D">
      <w:r w:rsidRPr="008F2D42">
        <w:rPr>
          <w:noProof/>
        </w:rPr>
        <w:lastRenderedPageBreak/>
        <w:drawing>
          <wp:inline distT="0" distB="0" distL="0" distR="0" wp14:anchorId="46D69D37" wp14:editId="325A1415">
            <wp:extent cx="2761561" cy="1712976"/>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68095" cy="1717029"/>
                    </a:xfrm>
                    <a:prstGeom prst="rect">
                      <a:avLst/>
                    </a:prstGeom>
                  </pic:spPr>
                </pic:pic>
              </a:graphicData>
            </a:graphic>
          </wp:inline>
        </w:drawing>
      </w:r>
      <w:r w:rsidRPr="008F2D42">
        <w:rPr>
          <w:noProof/>
        </w:rPr>
        <w:t xml:space="preserve"> </w:t>
      </w:r>
      <w:r w:rsidRPr="008F2D42">
        <w:rPr>
          <w:noProof/>
        </w:rPr>
        <w:drawing>
          <wp:inline distT="0" distB="0" distL="0" distR="0" wp14:anchorId="44C13FF2" wp14:editId="44BF0A58">
            <wp:extent cx="2365629" cy="16038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83443" cy="1615914"/>
                    </a:xfrm>
                    <a:prstGeom prst="rect">
                      <a:avLst/>
                    </a:prstGeom>
                  </pic:spPr>
                </pic:pic>
              </a:graphicData>
            </a:graphic>
          </wp:inline>
        </w:drawing>
      </w:r>
    </w:p>
    <w:p w14:paraId="393E9543" w14:textId="77777777" w:rsidR="008B787D" w:rsidRPr="008F2D42" w:rsidRDefault="008B787D" w:rsidP="008B787D">
      <w:pPr>
        <w:pStyle w:val="ListParagraph"/>
        <w:numPr>
          <w:ilvl w:val="0"/>
          <w:numId w:val="13"/>
        </w:numPr>
        <w:spacing w:after="0" w:line="259" w:lineRule="auto"/>
      </w:pPr>
      <w:r w:rsidRPr="008F2D42">
        <w:rPr>
          <w:b/>
          <w:bCs/>
        </w:rPr>
        <w:t xml:space="preserve">                               </w:t>
      </w:r>
      <w:r w:rsidRPr="008F2D42">
        <w:t>b)</w:t>
      </w:r>
    </w:p>
    <w:p w14:paraId="30F0F7EB" w14:textId="33C32F18" w:rsidR="008B787D" w:rsidRPr="003A1D28" w:rsidRDefault="008B787D" w:rsidP="008B787D">
      <w:pPr>
        <w:pStyle w:val="Caption"/>
      </w:pPr>
      <w:r w:rsidRPr="003A1D28">
        <w:t xml:space="preserve">Figure </w:t>
      </w:r>
      <w:r>
        <w:t>2</w:t>
      </w:r>
      <w:r w:rsidRPr="003A1D28">
        <w:t xml:space="preserve"> Illustration of the two setups (a and b) with one serving cell, a UE (red triangle) and movement due to satellite movement (red dashed line with arrow) for Earth moving cells. </w:t>
      </w:r>
    </w:p>
    <w:p w14:paraId="2763BE46" w14:textId="09B100C1" w:rsidR="008B787D" w:rsidRPr="003A1D28" w:rsidRDefault="008B787D" w:rsidP="008B787D">
      <w:pPr>
        <w:jc w:val="both"/>
      </w:pPr>
      <w:r w:rsidRPr="003A1D28">
        <w:t xml:space="preserve">Figure </w:t>
      </w:r>
      <w:r>
        <w:t>2</w:t>
      </w:r>
      <w:r w:rsidRPr="003A1D28">
        <w:t xml:space="preserve"> shows the ideal RSRP traces (no fading, no measurement errors) over time of the different cells for setup a and b. </w:t>
      </w:r>
      <w:proofErr w:type="spellStart"/>
      <w:r w:rsidRPr="003A1D28">
        <w:t>Lookng</w:t>
      </w:r>
      <w:proofErr w:type="spellEnd"/>
      <w:r w:rsidRPr="003A1D28">
        <w:t xml:space="preserve"> at setup a) it can be seen that the cells on the right side (i.e. SB6, SB2, and SB10) are stronger than the cells on the left side (i.e. SB7, SB 3, and SB11), whereas the difference is smaller for case b, as the UE is closer to the orbital plane.</w:t>
      </w:r>
    </w:p>
    <w:p w14:paraId="38875D58" w14:textId="77777777" w:rsidR="008B787D" w:rsidRPr="003A1D28" w:rsidRDefault="008B787D" w:rsidP="008B787D">
      <w:pPr>
        <w:jc w:val="both"/>
        <w:rPr>
          <w:highlight w:val="yellow"/>
        </w:rPr>
      </w:pPr>
    </w:p>
    <w:p w14:paraId="3C14D19C" w14:textId="77777777" w:rsidR="008B787D" w:rsidRPr="008F2D42" w:rsidRDefault="008B787D" w:rsidP="008B787D">
      <w:pPr>
        <w:rPr>
          <w:b/>
          <w:bCs/>
        </w:rPr>
      </w:pPr>
      <w:r w:rsidRPr="008F2D42">
        <w:rPr>
          <w:b/>
          <w:bCs/>
          <w:noProof/>
        </w:rPr>
        <w:drawing>
          <wp:inline distT="0" distB="0" distL="0" distR="0" wp14:anchorId="6FFCAD3B" wp14:editId="4B8E936A">
            <wp:extent cx="2505456" cy="1857052"/>
            <wp:effectExtent l="0" t="0" r="0" b="0"/>
            <wp:docPr id="9" name="Picture 9" descr="Chart&#10;&#10;Description automatically generated">
              <a:extLst xmlns:a="http://schemas.openxmlformats.org/drawingml/2006/main">
                <a:ext uri="{FF2B5EF4-FFF2-40B4-BE49-F238E27FC236}">
                  <a16:creationId xmlns:a16="http://schemas.microsoft.com/office/drawing/2014/main" id="{9B546D33-A17D-48F1-ABE3-E6330591A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9B546D33-A17D-48F1-ABE3-E6330591A31E}"/>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10503" cy="1860793"/>
                    </a:xfrm>
                    <a:prstGeom prst="rect">
                      <a:avLst/>
                    </a:prstGeom>
                  </pic:spPr>
                </pic:pic>
              </a:graphicData>
            </a:graphic>
          </wp:inline>
        </w:drawing>
      </w:r>
      <w:r w:rsidRPr="008F2D42">
        <w:rPr>
          <w:noProof/>
        </w:rPr>
        <w:t xml:space="preserve"> </w:t>
      </w:r>
      <w:r w:rsidRPr="008F2D42">
        <w:rPr>
          <w:b/>
          <w:noProof/>
        </w:rPr>
        <w:drawing>
          <wp:inline distT="0" distB="0" distL="0" distR="0" wp14:anchorId="37BA2166" wp14:editId="7AA0225D">
            <wp:extent cx="2492013" cy="1847088"/>
            <wp:effectExtent l="0" t="0" r="3810" b="1270"/>
            <wp:docPr id="10" name="Picture 10" descr="Chart&#10;&#10;Description automatically generated">
              <a:extLst xmlns:a="http://schemas.openxmlformats.org/drawingml/2006/main">
                <a:ext uri="{FF2B5EF4-FFF2-40B4-BE49-F238E27FC236}">
                  <a16:creationId xmlns:a16="http://schemas.microsoft.com/office/drawing/2014/main" id="{2EE8CBF0-D67E-4E4B-859E-791C772C5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2EE8CBF0-D67E-4E4B-859E-791C772C5C0B}"/>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08232" cy="1859109"/>
                    </a:xfrm>
                    <a:prstGeom prst="rect">
                      <a:avLst/>
                    </a:prstGeom>
                  </pic:spPr>
                </pic:pic>
              </a:graphicData>
            </a:graphic>
          </wp:inline>
        </w:drawing>
      </w:r>
    </w:p>
    <w:p w14:paraId="05BA22F2" w14:textId="77777777" w:rsidR="008B787D" w:rsidRPr="008F2D42" w:rsidRDefault="008B787D" w:rsidP="008B787D">
      <w:pPr>
        <w:pStyle w:val="ListParagraph"/>
        <w:numPr>
          <w:ilvl w:val="0"/>
          <w:numId w:val="14"/>
        </w:numPr>
        <w:spacing w:after="0" w:line="259" w:lineRule="auto"/>
      </w:pPr>
      <w:r w:rsidRPr="008F2D42">
        <w:rPr>
          <w:b/>
          <w:bCs/>
        </w:rPr>
        <w:t xml:space="preserve">                               </w:t>
      </w:r>
      <w:r w:rsidRPr="008F2D42">
        <w:t>b)</w:t>
      </w:r>
    </w:p>
    <w:p w14:paraId="50DB4626" w14:textId="77777777" w:rsidR="008B787D" w:rsidRPr="003A1D28" w:rsidRDefault="008B787D" w:rsidP="008B787D">
      <w:pPr>
        <w:pStyle w:val="Caption"/>
        <w:jc w:val="center"/>
      </w:pPr>
      <w:r w:rsidRPr="003A1D28">
        <w:t xml:space="preserve">Figure </w:t>
      </w:r>
      <w:r>
        <w:fldChar w:fldCharType="begin"/>
      </w:r>
      <w:r w:rsidRPr="003A1D28">
        <w:instrText xml:space="preserve"> SEQ Figure \* ARABIC </w:instrText>
      </w:r>
      <w:r>
        <w:fldChar w:fldCharType="separate"/>
      </w:r>
      <w:r w:rsidRPr="003A1D28">
        <w:t>4</w:t>
      </w:r>
      <w:r>
        <w:fldChar w:fldCharType="end"/>
      </w:r>
      <w:r w:rsidRPr="003A1D28">
        <w:t xml:space="preserve"> RSRP traces for setup a and b versus time.</w:t>
      </w:r>
    </w:p>
    <w:p w14:paraId="071F0E67" w14:textId="474F6640" w:rsidR="008B787D" w:rsidRPr="003A1D28" w:rsidRDefault="008B787D" w:rsidP="008B787D">
      <w:pPr>
        <w:rPr>
          <w:b/>
        </w:rPr>
      </w:pPr>
      <w:r w:rsidRPr="003A1D28">
        <w:rPr>
          <w:b/>
        </w:rPr>
        <w:t xml:space="preserve">Observation </w:t>
      </w:r>
      <w:r w:rsidR="00B55F7F">
        <w:rPr>
          <w:b/>
        </w:rPr>
        <w:t>6</w:t>
      </w:r>
      <w:r w:rsidRPr="003A1D28">
        <w:rPr>
          <w:b/>
        </w:rPr>
        <w:t xml:space="preserve">: UE </w:t>
      </w:r>
      <w:r w:rsidR="00911F33" w:rsidRPr="003A1D28">
        <w:rPr>
          <w:b/>
        </w:rPr>
        <w:t>neighbouring</w:t>
      </w:r>
      <w:r w:rsidRPr="003A1D28">
        <w:rPr>
          <w:b/>
        </w:rPr>
        <w:t xml:space="preserve"> cells measurements can be a good indicator of the UE location relative to the orbital line.</w:t>
      </w:r>
    </w:p>
    <w:p w14:paraId="4D783CCA" w14:textId="77777777" w:rsidR="008B787D" w:rsidRDefault="008B787D" w:rsidP="008B787D">
      <w:r w:rsidRPr="003A1D28">
        <w:t>In general the following cases may be considered:</w:t>
      </w:r>
    </w:p>
    <w:p w14:paraId="34AB34EA" w14:textId="5F84E0BF" w:rsidR="00DF51F7" w:rsidRPr="00B41A9B" w:rsidRDefault="00DF51F7" w:rsidP="00DF51F7">
      <w:pPr>
        <w:pStyle w:val="ListParagraph"/>
        <w:numPr>
          <w:ilvl w:val="0"/>
          <w:numId w:val="15"/>
        </w:numPr>
      </w:pPr>
      <w:r w:rsidRPr="00B41A9B">
        <w:t xml:space="preserve">UE on or very close to the orbital line. The two mirror points are very close together (the distance between the points is less </w:t>
      </w:r>
      <w:proofErr w:type="spellStart"/>
      <w:r w:rsidRPr="00B41A9B">
        <w:t>that</w:t>
      </w:r>
      <w:proofErr w:type="spellEnd"/>
      <w:r w:rsidRPr="00B41A9B">
        <w:t xml:space="preserve"> 10 km apart, i.e. the UE position less </w:t>
      </w:r>
      <w:proofErr w:type="spellStart"/>
      <w:r w:rsidRPr="00B41A9B">
        <w:t>that</w:t>
      </w:r>
      <w:proofErr w:type="spellEnd"/>
      <w:r w:rsidRPr="00B41A9B">
        <w:t xml:space="preserve"> 5 km away from the orbital line), so no differentiation is needed, as the required accuracy is already reached.</w:t>
      </w:r>
    </w:p>
    <w:p w14:paraId="3365E8A0" w14:textId="506D2AD1" w:rsidR="00DF51F7" w:rsidRPr="00B41A9B" w:rsidRDefault="00DF51F7" w:rsidP="00DF51F7">
      <w:pPr>
        <w:pStyle w:val="ListParagraph"/>
        <w:numPr>
          <w:ilvl w:val="0"/>
          <w:numId w:val="15"/>
        </w:numPr>
      </w:pPr>
      <w:r w:rsidRPr="00B41A9B">
        <w:t>UE is very far away from the orbital line, as in the situation where is associated to a cell which is not having coverage area intersecting with the orbital line. In that case</w:t>
      </w:r>
      <w:r w:rsidRPr="00B41A9B">
        <w:rPr>
          <w:lang w:val="en-US"/>
        </w:rPr>
        <w:t>,</w:t>
      </w:r>
      <w:r w:rsidRPr="00B41A9B">
        <w:t xml:space="preserve"> the serving cell association may be used to assist the differentiation for verification purposes.</w:t>
      </w:r>
    </w:p>
    <w:p w14:paraId="1E2AA3D8" w14:textId="0CA2B90B" w:rsidR="008B787D" w:rsidRPr="00B41A9B" w:rsidRDefault="00DF51F7" w:rsidP="008B787D">
      <w:pPr>
        <w:pStyle w:val="ListParagraph"/>
        <w:numPr>
          <w:ilvl w:val="0"/>
          <w:numId w:val="15"/>
        </w:numPr>
      </w:pPr>
      <w:r w:rsidRPr="00B41A9B">
        <w:t>UE is in between case 1 and case 2. This is the case where additional extra information is needed for validation purposes, so further studies should focus on this situation.</w:t>
      </w:r>
    </w:p>
    <w:p w14:paraId="64DC6424" w14:textId="1FCBF6F9" w:rsidR="008B787D" w:rsidRDefault="008B787D" w:rsidP="008B787D">
      <w:pPr>
        <w:jc w:val="both"/>
      </w:pPr>
      <w:r w:rsidRPr="003A1D28">
        <w:t xml:space="preserve">In particular the worst point to consider when </w:t>
      </w:r>
      <w:proofErr w:type="spellStart"/>
      <w:r w:rsidRPr="003A1D28">
        <w:t>neighboring</w:t>
      </w:r>
      <w:proofErr w:type="spellEnd"/>
      <w:r w:rsidRPr="003A1D28">
        <w:t xml:space="preserve"> cells are used is when the UE is 5.5 km away from the orbital line, as the </w:t>
      </w:r>
      <w:proofErr w:type="spellStart"/>
      <w:r w:rsidRPr="003A1D28">
        <w:t>neighboring</w:t>
      </w:r>
      <w:proofErr w:type="spellEnd"/>
      <w:r w:rsidRPr="003A1D28">
        <w:t xml:space="preserve"> cells are far away while the two </w:t>
      </w:r>
      <w:proofErr w:type="spellStart"/>
      <w:r w:rsidRPr="003A1D28">
        <w:t>mirrorpoint</w:t>
      </w:r>
      <w:proofErr w:type="spellEnd"/>
      <w:r w:rsidRPr="003A1D28">
        <w:t xml:space="preserve"> are separated by more than 10 km. This is like setup b) above. It should be noted that any inaccuracy in the specific positioning method should also be accounted when considering the minimum needed separation from the orbital line. That is, if e.g. multi-RTT based method will determine the UE position with an </w:t>
      </w:r>
      <w:proofErr w:type="spellStart"/>
      <w:r w:rsidRPr="003A1D28">
        <w:t>accuract</w:t>
      </w:r>
      <w:proofErr w:type="spellEnd"/>
      <w:r w:rsidRPr="003A1D28">
        <w:t xml:space="preserve"> relative to the orbital plane of +/- 1 km, the associated mirror point/area algorithm need to take this into account and further increase the requirements of the separation algorithm (by reducing from 5.5 km to 4.5 km in this example).</w:t>
      </w:r>
    </w:p>
    <w:p w14:paraId="29F5B594" w14:textId="7643B85D" w:rsidR="00DF51F7" w:rsidRPr="003A1D28" w:rsidRDefault="00730023" w:rsidP="008B787D">
      <w:pPr>
        <w:jc w:val="both"/>
      </w:pPr>
      <w:r w:rsidRPr="003A1D28">
        <w:lastRenderedPageBreak/>
        <w:t>One counter argument for using the RSRP measurements as proposed above is that this creates extra overhead for the reporting. However</w:t>
      </w:r>
      <w:r>
        <w:t>,</w:t>
      </w:r>
      <w:r w:rsidRPr="003A1D28">
        <w:t xml:space="preserve"> the signalling can be compressed as what matters is the relationship between cells on the line </w:t>
      </w:r>
      <w:proofErr w:type="spellStart"/>
      <w:r w:rsidRPr="003A1D28">
        <w:t>pendicular</w:t>
      </w:r>
      <w:proofErr w:type="spellEnd"/>
      <w:r w:rsidRPr="003A1D28">
        <w:t xml:space="preserve"> to the orbital line.</w:t>
      </w:r>
      <w:r>
        <w:t xml:space="preserve"> </w:t>
      </w:r>
      <w:r w:rsidR="00DF51F7">
        <w:t>The discussion on</w:t>
      </w:r>
      <w:r w:rsidR="001F0B1A">
        <w:t xml:space="preserve"> the</w:t>
      </w:r>
      <w:r w:rsidR="00DF51F7">
        <w:t xml:space="preserve"> mirror p</w:t>
      </w:r>
      <w:r w:rsidR="001F0B1A">
        <w:t xml:space="preserve">oint issue is currently ongoing in RAN1, and RAN2 </w:t>
      </w:r>
      <w:r w:rsidR="000B07DB">
        <w:t>may</w:t>
      </w:r>
      <w:r w:rsidR="001F0B1A">
        <w:t xml:space="preserve"> wait for </w:t>
      </w:r>
      <w:r w:rsidR="00BF7BF5">
        <w:t>RAN1 progress. However, as seen above, solutions may include determining procedures for neighbour cell measurements</w:t>
      </w:r>
      <w:r w:rsidR="000B07DB">
        <w:t xml:space="preserve"> and </w:t>
      </w:r>
      <w:r w:rsidR="00417119">
        <w:t>signalling procedures</w:t>
      </w:r>
      <w:r w:rsidR="00BF7BF5">
        <w:t xml:space="preserve">, and RAN2 should be ready to discuss </w:t>
      </w:r>
      <w:r w:rsidR="00417119">
        <w:t>potential enhancements to this.</w:t>
      </w:r>
    </w:p>
    <w:p w14:paraId="75FAAEA3" w14:textId="26292FFF" w:rsidR="008B787D" w:rsidRPr="003A1D28" w:rsidRDefault="008B787D" w:rsidP="008B787D">
      <w:pPr>
        <w:jc w:val="both"/>
        <w:rPr>
          <w:b/>
        </w:rPr>
      </w:pPr>
      <w:r w:rsidRPr="003A1D28">
        <w:rPr>
          <w:b/>
        </w:rPr>
        <w:t xml:space="preserve">Proposal </w:t>
      </w:r>
      <w:r w:rsidR="00B55F7F">
        <w:rPr>
          <w:b/>
        </w:rPr>
        <w:t>3</w:t>
      </w:r>
      <w:r w:rsidRPr="003A1D28">
        <w:rPr>
          <w:b/>
        </w:rPr>
        <w:t xml:space="preserve">: </w:t>
      </w:r>
      <w:r w:rsidR="00911F33">
        <w:rPr>
          <w:b/>
        </w:rPr>
        <w:t>RAN2</w:t>
      </w:r>
      <w:r w:rsidR="00911F33">
        <w:rPr>
          <w:b/>
        </w:rPr>
        <w:t xml:space="preserve"> agree to proceed discussion on RAN2</w:t>
      </w:r>
      <w:r w:rsidR="00911F33">
        <w:rPr>
          <w:b/>
        </w:rPr>
        <w:t xml:space="preserve"> relevant enhancements to the </w:t>
      </w:r>
      <w:r w:rsidR="00911F33">
        <w:rPr>
          <w:b/>
        </w:rPr>
        <w:t xml:space="preserve">mirror point issue </w:t>
      </w:r>
      <w:r w:rsidR="00911F33">
        <w:rPr>
          <w:b/>
        </w:rPr>
        <w:t>procedure</w:t>
      </w:r>
      <w:r w:rsidR="00911F33">
        <w:rPr>
          <w:b/>
        </w:rPr>
        <w:t>s in parallel with RAN1</w:t>
      </w:r>
      <w:r w:rsidRPr="003A1D28">
        <w:rPr>
          <w:b/>
        </w:rPr>
        <w:t>.</w:t>
      </w:r>
    </w:p>
    <w:p w14:paraId="69B7B8E6" w14:textId="6BA1CF4F" w:rsidR="009339CB" w:rsidRPr="006E13D1" w:rsidRDefault="005A13AB" w:rsidP="00DE6A68">
      <w:pPr>
        <w:pStyle w:val="Heading1"/>
      </w:pPr>
      <w:r>
        <w:t>3</w:t>
      </w:r>
      <w:r w:rsidR="009339CB" w:rsidRPr="006E13D1">
        <w:tab/>
      </w:r>
      <w:r w:rsidR="009339CB">
        <w:t>Conclusion</w:t>
      </w:r>
    </w:p>
    <w:p w14:paraId="6E24B0F4" w14:textId="54951313" w:rsidR="009339CB" w:rsidRPr="006E13D1" w:rsidRDefault="009339CB" w:rsidP="009339CB">
      <w:r>
        <w:t>This documents has made the following observations</w:t>
      </w:r>
      <w:r w:rsidR="005F2708">
        <w:t xml:space="preserve"> and proposals</w:t>
      </w:r>
      <w:r>
        <w:t>:</w:t>
      </w:r>
    </w:p>
    <w:p w14:paraId="6A49CDE1" w14:textId="77777777" w:rsidR="00D018AD" w:rsidRDefault="00D018AD" w:rsidP="00D018AD">
      <w:pPr>
        <w:rPr>
          <w:b/>
          <w:bCs/>
        </w:rPr>
      </w:pPr>
      <w:r w:rsidRPr="00792A48">
        <w:rPr>
          <w:b/>
          <w:bCs/>
        </w:rPr>
        <w:t>Proposal 1:</w:t>
      </w:r>
      <w:r>
        <w:rPr>
          <w:b/>
          <w:bCs/>
        </w:rPr>
        <w:t xml:space="preserve"> RAN2 to ensure for a single satellite scenario that the configuration of round trip time measurement prioritise accuracy of the verification procedure as long as the latency falls below SA2s requirement of up to one minute.</w:t>
      </w:r>
    </w:p>
    <w:p w14:paraId="486B7B1A" w14:textId="2C0ACE4B" w:rsidR="00D018AD" w:rsidRPr="00792A48" w:rsidRDefault="00D018AD" w:rsidP="00D018AD">
      <w:pPr>
        <w:jc w:val="both"/>
        <w:rPr>
          <w:b/>
          <w:bCs/>
        </w:rPr>
      </w:pPr>
      <w:r w:rsidRPr="00792A48">
        <w:rPr>
          <w:b/>
          <w:bCs/>
        </w:rPr>
        <w:t xml:space="preserve">Observation </w:t>
      </w:r>
      <w:r>
        <w:rPr>
          <w:b/>
          <w:bCs/>
        </w:rPr>
        <w:t>1</w:t>
      </w:r>
      <w:r w:rsidRPr="00792A48">
        <w:rPr>
          <w:b/>
          <w:bCs/>
        </w:rPr>
        <w:t xml:space="preserve">: </w:t>
      </w:r>
      <w:r w:rsidR="00FD6D7F" w:rsidRPr="00792A48">
        <w:rPr>
          <w:b/>
          <w:bCs/>
        </w:rPr>
        <w:t>Similarly,</w:t>
      </w:r>
      <w:r w:rsidRPr="00792A48">
        <w:rPr>
          <w:b/>
          <w:bCs/>
        </w:rPr>
        <w:t xml:space="preserve"> as when other positioning methods are used, using a larger number of uncorrelated space samples will benefit the verification method to estimate the UE location reducing the procedure duration.</w:t>
      </w:r>
    </w:p>
    <w:p w14:paraId="1E13B69C" w14:textId="77777777" w:rsidR="00D018AD" w:rsidRDefault="00D018AD" w:rsidP="00D018AD">
      <w:pPr>
        <w:rPr>
          <w:b/>
        </w:rPr>
      </w:pPr>
      <w:r w:rsidRPr="00792A48">
        <w:rPr>
          <w:b/>
        </w:rPr>
        <w:t xml:space="preserve">Observation </w:t>
      </w:r>
      <w:r>
        <w:rPr>
          <w:b/>
        </w:rPr>
        <w:t>2</w:t>
      </w:r>
      <w:r w:rsidRPr="00792A48">
        <w:rPr>
          <w:b/>
        </w:rPr>
        <w:t>:</w:t>
      </w:r>
      <w:r>
        <w:rPr>
          <w:b/>
        </w:rPr>
        <w:t xml:space="preserve"> Low latency UE verification procedure is preferred for either the case where the UE is allowed to access services before verification, or not.</w:t>
      </w:r>
    </w:p>
    <w:p w14:paraId="75513E6F" w14:textId="77777777" w:rsidR="00D018AD" w:rsidRPr="00792A48" w:rsidRDefault="00D018AD" w:rsidP="00D018AD">
      <w:pPr>
        <w:rPr>
          <w:b/>
        </w:rPr>
      </w:pPr>
      <w:r w:rsidRPr="00792A48">
        <w:rPr>
          <w:b/>
        </w:rPr>
        <w:t xml:space="preserve">Observation </w:t>
      </w:r>
      <w:r>
        <w:rPr>
          <w:b/>
        </w:rPr>
        <w:t>3</w:t>
      </w:r>
      <w:r w:rsidRPr="00792A48">
        <w:rPr>
          <w:b/>
        </w:rPr>
        <w:t>: The benefit of using multiple satellites is that the required time for determining the UE position decreases significantly</w:t>
      </w:r>
      <w:r w:rsidRPr="003A1D28">
        <w:rPr>
          <w:b/>
        </w:rPr>
        <w:t>.</w:t>
      </w:r>
    </w:p>
    <w:p w14:paraId="3210D0EE" w14:textId="77777777" w:rsidR="00D018AD" w:rsidRDefault="00D018AD" w:rsidP="00D018AD">
      <w:pPr>
        <w:rPr>
          <w:b/>
        </w:rPr>
      </w:pPr>
      <w:r w:rsidRPr="003A1D28">
        <w:rPr>
          <w:b/>
        </w:rPr>
        <w:t xml:space="preserve">Observation </w:t>
      </w:r>
      <w:r>
        <w:rPr>
          <w:b/>
        </w:rPr>
        <w:t>4</w:t>
      </w:r>
      <w:r w:rsidRPr="003A1D28">
        <w:rPr>
          <w:b/>
        </w:rPr>
        <w:t>: A UE may be connected/camping on different cells during fly over of the satellite and can measure the signal levels of the neighbouring cells.</w:t>
      </w:r>
    </w:p>
    <w:p w14:paraId="16225605" w14:textId="77777777" w:rsidR="00D018AD" w:rsidRPr="00792A48" w:rsidRDefault="00D018AD" w:rsidP="00D018AD">
      <w:pPr>
        <w:rPr>
          <w:b/>
          <w:lang w:val="en-US"/>
        </w:rPr>
      </w:pPr>
      <w:r>
        <w:rPr>
          <w:b/>
          <w:lang w:val="en-US"/>
        </w:rPr>
        <w:t>Proposal 2: RAN2 agree to include support of multiple satellite support for multi-RTT in the specification work.</w:t>
      </w:r>
    </w:p>
    <w:p w14:paraId="57EA51B9" w14:textId="77777777" w:rsidR="00D018AD" w:rsidRDefault="00D018AD" w:rsidP="00D018AD">
      <w:pPr>
        <w:spacing w:after="0"/>
        <w:rPr>
          <w:b/>
          <w:bCs/>
        </w:rPr>
      </w:pPr>
      <w:r w:rsidRPr="00237CAA">
        <w:rPr>
          <w:b/>
          <w:bCs/>
        </w:rPr>
        <w:t xml:space="preserve">Observation </w:t>
      </w:r>
      <w:r>
        <w:rPr>
          <w:b/>
          <w:bCs/>
        </w:rPr>
        <w:t>5</w:t>
      </w:r>
      <w:r w:rsidRPr="00237CAA">
        <w:rPr>
          <w:b/>
          <w:bCs/>
          <w:lang w:val="en-US"/>
        </w:rPr>
        <w:t xml:space="preserve">: </w:t>
      </w:r>
      <w:r w:rsidRPr="00237CAA">
        <w:rPr>
          <w:b/>
          <w:bCs/>
        </w:rPr>
        <w:t>RAN1 is studying the mirror image issue</w:t>
      </w:r>
      <w:r>
        <w:rPr>
          <w:b/>
          <w:bCs/>
        </w:rPr>
        <w:t xml:space="preserve"> caused by the verification procedure being limited to a single orbital plane.</w:t>
      </w:r>
    </w:p>
    <w:p w14:paraId="143AA7E7" w14:textId="77777777" w:rsidR="00D018AD" w:rsidRDefault="00D018AD" w:rsidP="00D018AD">
      <w:pPr>
        <w:spacing w:after="0"/>
        <w:rPr>
          <w:b/>
          <w:bCs/>
        </w:rPr>
      </w:pPr>
    </w:p>
    <w:p w14:paraId="4BB9BF06" w14:textId="56E04D83" w:rsidR="00D018AD" w:rsidRPr="003A1D28" w:rsidRDefault="00D018AD" w:rsidP="00D018AD">
      <w:pPr>
        <w:rPr>
          <w:b/>
        </w:rPr>
      </w:pPr>
      <w:r w:rsidRPr="003A1D28">
        <w:rPr>
          <w:b/>
        </w:rPr>
        <w:t xml:space="preserve">Observation </w:t>
      </w:r>
      <w:r>
        <w:rPr>
          <w:b/>
        </w:rPr>
        <w:t>6</w:t>
      </w:r>
      <w:r w:rsidRPr="003A1D28">
        <w:rPr>
          <w:b/>
        </w:rPr>
        <w:t xml:space="preserve">: UE </w:t>
      </w:r>
      <w:r w:rsidR="00911F33" w:rsidRPr="003A1D28">
        <w:rPr>
          <w:b/>
        </w:rPr>
        <w:t>neighbouring</w:t>
      </w:r>
      <w:r w:rsidRPr="003A1D28">
        <w:rPr>
          <w:b/>
        </w:rPr>
        <w:t xml:space="preserve"> cells measurements can be a good indicator of the UE location relative to the orbital line.</w:t>
      </w:r>
    </w:p>
    <w:p w14:paraId="35F222F4" w14:textId="2E7A6DA6" w:rsidR="00080512" w:rsidRPr="00A209D6" w:rsidRDefault="00D018AD" w:rsidP="009339CB">
      <w:r w:rsidRPr="003A1D28">
        <w:rPr>
          <w:b/>
        </w:rPr>
        <w:t xml:space="preserve">Proposal </w:t>
      </w:r>
      <w:r>
        <w:rPr>
          <w:b/>
        </w:rPr>
        <w:t>3</w:t>
      </w:r>
      <w:r w:rsidRPr="003A1D28">
        <w:rPr>
          <w:b/>
        </w:rPr>
        <w:t xml:space="preserve">: </w:t>
      </w:r>
      <w:r w:rsidR="00911F33">
        <w:rPr>
          <w:b/>
        </w:rPr>
        <w:t>RAN2 agree to proceed discussion on RAN2 relevant enhancements to the mirror point issue procedures in parallel with RAN1</w:t>
      </w:r>
      <w:r w:rsidRPr="003A1D28">
        <w:rPr>
          <w:b/>
        </w:rPr>
        <w:t>.</w:t>
      </w:r>
    </w:p>
    <w:sectPr w:rsidR="00080512" w:rsidRPr="00A209D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639D" w14:textId="77777777" w:rsidR="00E763BD" w:rsidRDefault="00E763BD">
      <w:r>
        <w:separator/>
      </w:r>
    </w:p>
  </w:endnote>
  <w:endnote w:type="continuationSeparator" w:id="0">
    <w:p w14:paraId="7381CE48" w14:textId="77777777" w:rsidR="00E763BD" w:rsidRDefault="00E763BD">
      <w:r>
        <w:continuationSeparator/>
      </w:r>
    </w:p>
  </w:endnote>
  <w:endnote w:type="continuationNotice" w:id="1">
    <w:p w14:paraId="330F1758" w14:textId="77777777" w:rsidR="00E763BD" w:rsidRDefault="00E76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90E2" w14:textId="77777777" w:rsidR="00E763BD" w:rsidRDefault="00E763BD">
      <w:r>
        <w:separator/>
      </w:r>
    </w:p>
  </w:footnote>
  <w:footnote w:type="continuationSeparator" w:id="0">
    <w:p w14:paraId="24E6B218" w14:textId="77777777" w:rsidR="00E763BD" w:rsidRDefault="00E763BD">
      <w:r>
        <w:continuationSeparator/>
      </w:r>
    </w:p>
  </w:footnote>
  <w:footnote w:type="continuationNotice" w:id="1">
    <w:p w14:paraId="761853B6" w14:textId="77777777" w:rsidR="00E763BD" w:rsidRDefault="00E76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DB5B91"/>
    <w:multiLevelType w:val="hybridMultilevel"/>
    <w:tmpl w:val="F0801B22"/>
    <w:lvl w:ilvl="0" w:tplc="FFFFFFFF">
      <w:start w:val="1"/>
      <w:numFmt w:val="lowerLetter"/>
      <w:lvlText w:val="%1)"/>
      <w:lvlJc w:val="left"/>
      <w:pPr>
        <w:ind w:left="2345" w:hanging="360"/>
      </w:pPr>
      <w:rPr>
        <w:rFonts w:hint="default"/>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 w15:restartNumberingAfterBreak="0">
    <w:nsid w:val="27192409"/>
    <w:multiLevelType w:val="hybridMultilevel"/>
    <w:tmpl w:val="6B02A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FE136F"/>
    <w:multiLevelType w:val="hybridMultilevel"/>
    <w:tmpl w:val="F0801B22"/>
    <w:lvl w:ilvl="0" w:tplc="3482A510">
      <w:start w:val="1"/>
      <w:numFmt w:val="lowerLetter"/>
      <w:lvlText w:val="%1)"/>
      <w:lvlJc w:val="left"/>
      <w:pPr>
        <w:ind w:left="2345" w:hanging="360"/>
      </w:pPr>
      <w:rPr>
        <w:rFonts w:hint="default"/>
        <w:b w:val="0"/>
        <w:bCs w:val="0"/>
      </w:rPr>
    </w:lvl>
    <w:lvl w:ilvl="1" w:tplc="04060019" w:tentative="1">
      <w:start w:val="1"/>
      <w:numFmt w:val="lowerLetter"/>
      <w:lvlText w:val="%2."/>
      <w:lvlJc w:val="left"/>
      <w:pPr>
        <w:ind w:left="3065" w:hanging="360"/>
      </w:pPr>
    </w:lvl>
    <w:lvl w:ilvl="2" w:tplc="0406001B" w:tentative="1">
      <w:start w:val="1"/>
      <w:numFmt w:val="lowerRoman"/>
      <w:lvlText w:val="%3."/>
      <w:lvlJc w:val="right"/>
      <w:pPr>
        <w:ind w:left="3785" w:hanging="180"/>
      </w:pPr>
    </w:lvl>
    <w:lvl w:ilvl="3" w:tplc="0406000F" w:tentative="1">
      <w:start w:val="1"/>
      <w:numFmt w:val="decimal"/>
      <w:lvlText w:val="%4."/>
      <w:lvlJc w:val="left"/>
      <w:pPr>
        <w:ind w:left="4505" w:hanging="360"/>
      </w:pPr>
    </w:lvl>
    <w:lvl w:ilvl="4" w:tplc="04060019" w:tentative="1">
      <w:start w:val="1"/>
      <w:numFmt w:val="lowerLetter"/>
      <w:lvlText w:val="%5."/>
      <w:lvlJc w:val="left"/>
      <w:pPr>
        <w:ind w:left="5225" w:hanging="360"/>
      </w:pPr>
    </w:lvl>
    <w:lvl w:ilvl="5" w:tplc="0406001B" w:tentative="1">
      <w:start w:val="1"/>
      <w:numFmt w:val="lowerRoman"/>
      <w:lvlText w:val="%6."/>
      <w:lvlJc w:val="right"/>
      <w:pPr>
        <w:ind w:left="5945" w:hanging="180"/>
      </w:pPr>
    </w:lvl>
    <w:lvl w:ilvl="6" w:tplc="0406000F" w:tentative="1">
      <w:start w:val="1"/>
      <w:numFmt w:val="decimal"/>
      <w:lvlText w:val="%7."/>
      <w:lvlJc w:val="left"/>
      <w:pPr>
        <w:ind w:left="6665" w:hanging="360"/>
      </w:pPr>
    </w:lvl>
    <w:lvl w:ilvl="7" w:tplc="04060019" w:tentative="1">
      <w:start w:val="1"/>
      <w:numFmt w:val="lowerLetter"/>
      <w:lvlText w:val="%8."/>
      <w:lvlJc w:val="left"/>
      <w:pPr>
        <w:ind w:left="7385" w:hanging="360"/>
      </w:pPr>
    </w:lvl>
    <w:lvl w:ilvl="8" w:tplc="0406001B" w:tentative="1">
      <w:start w:val="1"/>
      <w:numFmt w:val="lowerRoman"/>
      <w:lvlText w:val="%9."/>
      <w:lvlJc w:val="right"/>
      <w:pPr>
        <w:ind w:left="8105" w:hanging="180"/>
      </w:pPr>
    </w:lvl>
  </w:abstractNum>
  <w:abstractNum w:abstractNumId="8"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F0A49E4"/>
    <w:multiLevelType w:val="hybridMultilevel"/>
    <w:tmpl w:val="62721068"/>
    <w:lvl w:ilvl="0" w:tplc="0406000F">
      <w:start w:val="1"/>
      <w:numFmt w:val="decimal"/>
      <w:lvlText w:val="%1."/>
      <w:lvlJc w:val="left"/>
      <w:pPr>
        <w:ind w:left="360" w:hanging="360"/>
      </w:pPr>
      <w:rPr>
        <w:rFonts w:hint="default"/>
        <w:b w:val="0"/>
        <w:bCs w:val="0"/>
      </w:rPr>
    </w:lvl>
    <w:lvl w:ilvl="1" w:tplc="04060001">
      <w:start w:val="1"/>
      <w:numFmt w:val="bullet"/>
      <w:lvlText w:val=""/>
      <w:lvlJc w:val="left"/>
      <w:pPr>
        <w:ind w:left="-545" w:hanging="360"/>
      </w:pPr>
      <w:rPr>
        <w:rFonts w:ascii="Symbol" w:hAnsi="Symbol" w:hint="default"/>
      </w:rPr>
    </w:lvl>
    <w:lvl w:ilvl="2" w:tplc="0406001B">
      <w:start w:val="1"/>
      <w:numFmt w:val="lowerRoman"/>
      <w:lvlText w:val="%3."/>
      <w:lvlJc w:val="right"/>
      <w:pPr>
        <w:ind w:left="175" w:hanging="180"/>
      </w:pPr>
    </w:lvl>
    <w:lvl w:ilvl="3" w:tplc="04060001">
      <w:start w:val="1"/>
      <w:numFmt w:val="bullet"/>
      <w:lvlText w:val=""/>
      <w:lvlJc w:val="left"/>
      <w:pPr>
        <w:ind w:left="895" w:hanging="360"/>
      </w:pPr>
      <w:rPr>
        <w:rFonts w:ascii="Symbol" w:hAnsi="Symbol" w:hint="default"/>
      </w:r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12" w15:restartNumberingAfterBreak="0">
    <w:nsid w:val="6E6564D7"/>
    <w:multiLevelType w:val="hybridMultilevel"/>
    <w:tmpl w:val="757ED832"/>
    <w:lvl w:ilvl="0" w:tplc="BD70F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5C3F2F"/>
    <w:multiLevelType w:val="hybridMultilevel"/>
    <w:tmpl w:val="51906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10"/>
  </w:num>
  <w:num w:numId="8">
    <w:abstractNumId w:val="11"/>
  </w:num>
  <w:num w:numId="9">
    <w:abstractNumId w:val="8"/>
  </w:num>
  <w:num w:numId="10">
    <w:abstractNumId w:val="12"/>
  </w:num>
  <w:num w:numId="11">
    <w:abstractNumId w:val="5"/>
  </w:num>
  <w:num w:numId="12">
    <w:abstractNumId w:val="13"/>
  </w:num>
  <w:num w:numId="13">
    <w:abstractNumId w:val="7"/>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8A"/>
    <w:rsid w:val="00006C10"/>
    <w:rsid w:val="00010A58"/>
    <w:rsid w:val="00016557"/>
    <w:rsid w:val="00020A01"/>
    <w:rsid w:val="00023C40"/>
    <w:rsid w:val="0002662C"/>
    <w:rsid w:val="00033397"/>
    <w:rsid w:val="00040095"/>
    <w:rsid w:val="000446CD"/>
    <w:rsid w:val="00045585"/>
    <w:rsid w:val="00046A87"/>
    <w:rsid w:val="0005238C"/>
    <w:rsid w:val="00052967"/>
    <w:rsid w:val="0005747F"/>
    <w:rsid w:val="000618E5"/>
    <w:rsid w:val="00062AF2"/>
    <w:rsid w:val="00065268"/>
    <w:rsid w:val="0006781F"/>
    <w:rsid w:val="0007061C"/>
    <w:rsid w:val="00073C9C"/>
    <w:rsid w:val="00076412"/>
    <w:rsid w:val="0007687E"/>
    <w:rsid w:val="000777E0"/>
    <w:rsid w:val="0007799A"/>
    <w:rsid w:val="00080512"/>
    <w:rsid w:val="00082515"/>
    <w:rsid w:val="00084111"/>
    <w:rsid w:val="000854BB"/>
    <w:rsid w:val="000855EF"/>
    <w:rsid w:val="00090468"/>
    <w:rsid w:val="0009254B"/>
    <w:rsid w:val="00094568"/>
    <w:rsid w:val="000966AD"/>
    <w:rsid w:val="000A08E4"/>
    <w:rsid w:val="000A4C7C"/>
    <w:rsid w:val="000A7397"/>
    <w:rsid w:val="000B07DB"/>
    <w:rsid w:val="000B0B1C"/>
    <w:rsid w:val="000B2571"/>
    <w:rsid w:val="000B747F"/>
    <w:rsid w:val="000B7BCF"/>
    <w:rsid w:val="000C0234"/>
    <w:rsid w:val="000C24C4"/>
    <w:rsid w:val="000C522B"/>
    <w:rsid w:val="000D00BA"/>
    <w:rsid w:val="000D367C"/>
    <w:rsid w:val="000D58AB"/>
    <w:rsid w:val="000E1B43"/>
    <w:rsid w:val="000E358F"/>
    <w:rsid w:val="000E752F"/>
    <w:rsid w:val="00111799"/>
    <w:rsid w:val="001119E9"/>
    <w:rsid w:val="00112F1A"/>
    <w:rsid w:val="0012445A"/>
    <w:rsid w:val="0012562F"/>
    <w:rsid w:val="00142BB8"/>
    <w:rsid w:val="00145075"/>
    <w:rsid w:val="001502BF"/>
    <w:rsid w:val="0015537B"/>
    <w:rsid w:val="001741A0"/>
    <w:rsid w:val="00175FA0"/>
    <w:rsid w:val="00180EFA"/>
    <w:rsid w:val="00194CD0"/>
    <w:rsid w:val="0019649D"/>
    <w:rsid w:val="001A0B1F"/>
    <w:rsid w:val="001A0DC1"/>
    <w:rsid w:val="001B1CA5"/>
    <w:rsid w:val="001B49C9"/>
    <w:rsid w:val="001B7BAD"/>
    <w:rsid w:val="001C075A"/>
    <w:rsid w:val="001C0C1B"/>
    <w:rsid w:val="001C1890"/>
    <w:rsid w:val="001C23F4"/>
    <w:rsid w:val="001C4F79"/>
    <w:rsid w:val="001C7CBD"/>
    <w:rsid w:val="001F0B1A"/>
    <w:rsid w:val="001F168B"/>
    <w:rsid w:val="001F2089"/>
    <w:rsid w:val="001F30F1"/>
    <w:rsid w:val="001F6F3E"/>
    <w:rsid w:val="001F7831"/>
    <w:rsid w:val="00204045"/>
    <w:rsid w:val="0020712B"/>
    <w:rsid w:val="002211D1"/>
    <w:rsid w:val="0022606D"/>
    <w:rsid w:val="00231728"/>
    <w:rsid w:val="002332E5"/>
    <w:rsid w:val="00235139"/>
    <w:rsid w:val="00237CAA"/>
    <w:rsid w:val="00237F54"/>
    <w:rsid w:val="00241EF9"/>
    <w:rsid w:val="00244A05"/>
    <w:rsid w:val="00244FBC"/>
    <w:rsid w:val="002470E0"/>
    <w:rsid w:val="00250404"/>
    <w:rsid w:val="00253678"/>
    <w:rsid w:val="00253B86"/>
    <w:rsid w:val="00254A70"/>
    <w:rsid w:val="00254B4E"/>
    <w:rsid w:val="00256B74"/>
    <w:rsid w:val="00257130"/>
    <w:rsid w:val="002610D8"/>
    <w:rsid w:val="00266135"/>
    <w:rsid w:val="002739DD"/>
    <w:rsid w:val="002747EC"/>
    <w:rsid w:val="0028344C"/>
    <w:rsid w:val="002855BF"/>
    <w:rsid w:val="00286AA6"/>
    <w:rsid w:val="002A4842"/>
    <w:rsid w:val="002A6D2E"/>
    <w:rsid w:val="002B20FA"/>
    <w:rsid w:val="002B2988"/>
    <w:rsid w:val="002C1CA1"/>
    <w:rsid w:val="002D3BF5"/>
    <w:rsid w:val="002E0563"/>
    <w:rsid w:val="002E56DB"/>
    <w:rsid w:val="002F0D22"/>
    <w:rsid w:val="002F3791"/>
    <w:rsid w:val="002F4555"/>
    <w:rsid w:val="00311B17"/>
    <w:rsid w:val="00313093"/>
    <w:rsid w:val="00315BEC"/>
    <w:rsid w:val="003172DC"/>
    <w:rsid w:val="0032061F"/>
    <w:rsid w:val="00325AE3"/>
    <w:rsid w:val="00326069"/>
    <w:rsid w:val="00337ADD"/>
    <w:rsid w:val="00345A3A"/>
    <w:rsid w:val="00353B74"/>
    <w:rsid w:val="0035462D"/>
    <w:rsid w:val="0036459E"/>
    <w:rsid w:val="00364B41"/>
    <w:rsid w:val="0038189D"/>
    <w:rsid w:val="00381BCE"/>
    <w:rsid w:val="00383096"/>
    <w:rsid w:val="003839A0"/>
    <w:rsid w:val="0038514B"/>
    <w:rsid w:val="003902B4"/>
    <w:rsid w:val="00392D26"/>
    <w:rsid w:val="0039346C"/>
    <w:rsid w:val="0039667C"/>
    <w:rsid w:val="003A123A"/>
    <w:rsid w:val="003A1E59"/>
    <w:rsid w:val="003A41EF"/>
    <w:rsid w:val="003B40AD"/>
    <w:rsid w:val="003C4E37"/>
    <w:rsid w:val="003E16BE"/>
    <w:rsid w:val="003E3E2F"/>
    <w:rsid w:val="003F29D0"/>
    <w:rsid w:val="003F48B2"/>
    <w:rsid w:val="003F4E28"/>
    <w:rsid w:val="003F634D"/>
    <w:rsid w:val="003F6B8E"/>
    <w:rsid w:val="003F6FCF"/>
    <w:rsid w:val="004006E8"/>
    <w:rsid w:val="00400EF9"/>
    <w:rsid w:val="00401855"/>
    <w:rsid w:val="004040C2"/>
    <w:rsid w:val="004063FE"/>
    <w:rsid w:val="00417119"/>
    <w:rsid w:val="00420FDA"/>
    <w:rsid w:val="00425171"/>
    <w:rsid w:val="00425781"/>
    <w:rsid w:val="00430C4F"/>
    <w:rsid w:val="00430EEC"/>
    <w:rsid w:val="00431E38"/>
    <w:rsid w:val="00436C48"/>
    <w:rsid w:val="00442713"/>
    <w:rsid w:val="00446C3A"/>
    <w:rsid w:val="004474CC"/>
    <w:rsid w:val="00453195"/>
    <w:rsid w:val="00461261"/>
    <w:rsid w:val="004644FC"/>
    <w:rsid w:val="00465587"/>
    <w:rsid w:val="00465739"/>
    <w:rsid w:val="0047089E"/>
    <w:rsid w:val="004746B4"/>
    <w:rsid w:val="00476A2F"/>
    <w:rsid w:val="00476C49"/>
    <w:rsid w:val="00477455"/>
    <w:rsid w:val="004822C0"/>
    <w:rsid w:val="00485229"/>
    <w:rsid w:val="004856AD"/>
    <w:rsid w:val="004A09EB"/>
    <w:rsid w:val="004A1F7B"/>
    <w:rsid w:val="004B7301"/>
    <w:rsid w:val="004C1D37"/>
    <w:rsid w:val="004C44D2"/>
    <w:rsid w:val="004D3578"/>
    <w:rsid w:val="004D380D"/>
    <w:rsid w:val="004E10A1"/>
    <w:rsid w:val="004E1FCA"/>
    <w:rsid w:val="004E213A"/>
    <w:rsid w:val="004E3E3C"/>
    <w:rsid w:val="004E6416"/>
    <w:rsid w:val="004F4540"/>
    <w:rsid w:val="004F6E38"/>
    <w:rsid w:val="004F73A7"/>
    <w:rsid w:val="00502D90"/>
    <w:rsid w:val="00503171"/>
    <w:rsid w:val="00504948"/>
    <w:rsid w:val="00506256"/>
    <w:rsid w:val="00506C28"/>
    <w:rsid w:val="0051711F"/>
    <w:rsid w:val="0051768E"/>
    <w:rsid w:val="00525DDC"/>
    <w:rsid w:val="005326CE"/>
    <w:rsid w:val="00534DA0"/>
    <w:rsid w:val="00536706"/>
    <w:rsid w:val="00537406"/>
    <w:rsid w:val="0054003D"/>
    <w:rsid w:val="00543276"/>
    <w:rsid w:val="00543E6C"/>
    <w:rsid w:val="00545426"/>
    <w:rsid w:val="00563AF4"/>
    <w:rsid w:val="00564134"/>
    <w:rsid w:val="00565087"/>
    <w:rsid w:val="0056573F"/>
    <w:rsid w:val="00571279"/>
    <w:rsid w:val="00574ECC"/>
    <w:rsid w:val="005808AB"/>
    <w:rsid w:val="005809AC"/>
    <w:rsid w:val="00581092"/>
    <w:rsid w:val="00581667"/>
    <w:rsid w:val="0058650B"/>
    <w:rsid w:val="005A13AB"/>
    <w:rsid w:val="005A3799"/>
    <w:rsid w:val="005A49C6"/>
    <w:rsid w:val="005A4EE3"/>
    <w:rsid w:val="005B57DF"/>
    <w:rsid w:val="005C6AC7"/>
    <w:rsid w:val="005C766E"/>
    <w:rsid w:val="005C7CD5"/>
    <w:rsid w:val="005D0E9F"/>
    <w:rsid w:val="005E0F6F"/>
    <w:rsid w:val="005E7572"/>
    <w:rsid w:val="005F2708"/>
    <w:rsid w:val="005F61F7"/>
    <w:rsid w:val="00601D44"/>
    <w:rsid w:val="00602D61"/>
    <w:rsid w:val="00606AE0"/>
    <w:rsid w:val="00611566"/>
    <w:rsid w:val="00635C05"/>
    <w:rsid w:val="006461BD"/>
    <w:rsid w:val="00646D99"/>
    <w:rsid w:val="00656910"/>
    <w:rsid w:val="006574C0"/>
    <w:rsid w:val="0066128B"/>
    <w:rsid w:val="00672E49"/>
    <w:rsid w:val="00673FD4"/>
    <w:rsid w:val="0067703B"/>
    <w:rsid w:val="006803F6"/>
    <w:rsid w:val="00684123"/>
    <w:rsid w:val="00684953"/>
    <w:rsid w:val="00684A8D"/>
    <w:rsid w:val="00690C53"/>
    <w:rsid w:val="00691782"/>
    <w:rsid w:val="00696821"/>
    <w:rsid w:val="006A4555"/>
    <w:rsid w:val="006A6772"/>
    <w:rsid w:val="006B0F7E"/>
    <w:rsid w:val="006B230E"/>
    <w:rsid w:val="006B30F3"/>
    <w:rsid w:val="006B36F3"/>
    <w:rsid w:val="006B4D7C"/>
    <w:rsid w:val="006B5665"/>
    <w:rsid w:val="006B64F2"/>
    <w:rsid w:val="006B6BEB"/>
    <w:rsid w:val="006C66D8"/>
    <w:rsid w:val="006D1A2A"/>
    <w:rsid w:val="006D1E24"/>
    <w:rsid w:val="006D35DE"/>
    <w:rsid w:val="006D3EC3"/>
    <w:rsid w:val="006D5098"/>
    <w:rsid w:val="006D656A"/>
    <w:rsid w:val="006E1057"/>
    <w:rsid w:val="006E1417"/>
    <w:rsid w:val="006E6BF8"/>
    <w:rsid w:val="006F6A2C"/>
    <w:rsid w:val="00703256"/>
    <w:rsid w:val="00705C11"/>
    <w:rsid w:val="007069DC"/>
    <w:rsid w:val="00710201"/>
    <w:rsid w:val="007105DE"/>
    <w:rsid w:val="0072073A"/>
    <w:rsid w:val="007218CD"/>
    <w:rsid w:val="00722C7D"/>
    <w:rsid w:val="00730023"/>
    <w:rsid w:val="007342B5"/>
    <w:rsid w:val="00734A5B"/>
    <w:rsid w:val="00742461"/>
    <w:rsid w:val="00744E76"/>
    <w:rsid w:val="00757D40"/>
    <w:rsid w:val="00762909"/>
    <w:rsid w:val="007662B5"/>
    <w:rsid w:val="00777A95"/>
    <w:rsid w:val="00781F0F"/>
    <w:rsid w:val="0078727C"/>
    <w:rsid w:val="0079049D"/>
    <w:rsid w:val="00793DC5"/>
    <w:rsid w:val="00795DCD"/>
    <w:rsid w:val="00796823"/>
    <w:rsid w:val="007A00EC"/>
    <w:rsid w:val="007A2E55"/>
    <w:rsid w:val="007A6553"/>
    <w:rsid w:val="007B18D8"/>
    <w:rsid w:val="007B341F"/>
    <w:rsid w:val="007B4B3A"/>
    <w:rsid w:val="007B6E7E"/>
    <w:rsid w:val="007C095F"/>
    <w:rsid w:val="007C1325"/>
    <w:rsid w:val="007C1B9A"/>
    <w:rsid w:val="007C2DD0"/>
    <w:rsid w:val="007C7D3F"/>
    <w:rsid w:val="007D287E"/>
    <w:rsid w:val="007D50CB"/>
    <w:rsid w:val="007D5E50"/>
    <w:rsid w:val="007D6370"/>
    <w:rsid w:val="007F2E08"/>
    <w:rsid w:val="007F3281"/>
    <w:rsid w:val="0080062E"/>
    <w:rsid w:val="008024FA"/>
    <w:rsid w:val="008028A4"/>
    <w:rsid w:val="00804D2D"/>
    <w:rsid w:val="00807D39"/>
    <w:rsid w:val="0081034E"/>
    <w:rsid w:val="00812B98"/>
    <w:rsid w:val="00813245"/>
    <w:rsid w:val="008174A6"/>
    <w:rsid w:val="00821102"/>
    <w:rsid w:val="00823FFE"/>
    <w:rsid w:val="00824CC9"/>
    <w:rsid w:val="0083081F"/>
    <w:rsid w:val="00831195"/>
    <w:rsid w:val="00833C90"/>
    <w:rsid w:val="00835A3F"/>
    <w:rsid w:val="00837F4B"/>
    <w:rsid w:val="00840DE0"/>
    <w:rsid w:val="008411EB"/>
    <w:rsid w:val="00844DBA"/>
    <w:rsid w:val="0084775B"/>
    <w:rsid w:val="00847CD0"/>
    <w:rsid w:val="00852994"/>
    <w:rsid w:val="0085461A"/>
    <w:rsid w:val="00856255"/>
    <w:rsid w:val="0085762E"/>
    <w:rsid w:val="008576E7"/>
    <w:rsid w:val="00857892"/>
    <w:rsid w:val="008579D3"/>
    <w:rsid w:val="008607A8"/>
    <w:rsid w:val="0086354A"/>
    <w:rsid w:val="008644F3"/>
    <w:rsid w:val="00866464"/>
    <w:rsid w:val="008768CA"/>
    <w:rsid w:val="00877EF9"/>
    <w:rsid w:val="00880559"/>
    <w:rsid w:val="0088317B"/>
    <w:rsid w:val="008926EC"/>
    <w:rsid w:val="008A2341"/>
    <w:rsid w:val="008A2FE5"/>
    <w:rsid w:val="008A75FA"/>
    <w:rsid w:val="008B29A2"/>
    <w:rsid w:val="008B5306"/>
    <w:rsid w:val="008B54E8"/>
    <w:rsid w:val="008B6704"/>
    <w:rsid w:val="008B787D"/>
    <w:rsid w:val="008C0014"/>
    <w:rsid w:val="008C0A75"/>
    <w:rsid w:val="008C157D"/>
    <w:rsid w:val="008C2E2A"/>
    <w:rsid w:val="008C3057"/>
    <w:rsid w:val="008C491B"/>
    <w:rsid w:val="008D2E4D"/>
    <w:rsid w:val="008F3481"/>
    <w:rsid w:val="008F396F"/>
    <w:rsid w:val="008F3DCD"/>
    <w:rsid w:val="008F3EF9"/>
    <w:rsid w:val="009010E9"/>
    <w:rsid w:val="0090271F"/>
    <w:rsid w:val="00902DB9"/>
    <w:rsid w:val="0090466A"/>
    <w:rsid w:val="00904865"/>
    <w:rsid w:val="00911F33"/>
    <w:rsid w:val="00923655"/>
    <w:rsid w:val="009273C0"/>
    <w:rsid w:val="009339CB"/>
    <w:rsid w:val="009343E9"/>
    <w:rsid w:val="00936071"/>
    <w:rsid w:val="009376CD"/>
    <w:rsid w:val="00940212"/>
    <w:rsid w:val="00942EC2"/>
    <w:rsid w:val="0095410D"/>
    <w:rsid w:val="00956E10"/>
    <w:rsid w:val="00961ADF"/>
    <w:rsid w:val="00961B32"/>
    <w:rsid w:val="00962509"/>
    <w:rsid w:val="0096623E"/>
    <w:rsid w:val="00970DB3"/>
    <w:rsid w:val="00974BB0"/>
    <w:rsid w:val="00975BCD"/>
    <w:rsid w:val="00983CFC"/>
    <w:rsid w:val="009928A9"/>
    <w:rsid w:val="00992EEB"/>
    <w:rsid w:val="00992F35"/>
    <w:rsid w:val="009951C8"/>
    <w:rsid w:val="009A0433"/>
    <w:rsid w:val="009A0AF3"/>
    <w:rsid w:val="009A2EB3"/>
    <w:rsid w:val="009B07CD"/>
    <w:rsid w:val="009B6E57"/>
    <w:rsid w:val="009C19E9"/>
    <w:rsid w:val="009C2ABA"/>
    <w:rsid w:val="009C62EE"/>
    <w:rsid w:val="009D74A6"/>
    <w:rsid w:val="009E0E87"/>
    <w:rsid w:val="00A03311"/>
    <w:rsid w:val="00A07F02"/>
    <w:rsid w:val="00A10F02"/>
    <w:rsid w:val="00A12419"/>
    <w:rsid w:val="00A165A5"/>
    <w:rsid w:val="00A17176"/>
    <w:rsid w:val="00A204CA"/>
    <w:rsid w:val="00A209D6"/>
    <w:rsid w:val="00A22738"/>
    <w:rsid w:val="00A23F68"/>
    <w:rsid w:val="00A25BAB"/>
    <w:rsid w:val="00A36F5F"/>
    <w:rsid w:val="00A4266A"/>
    <w:rsid w:val="00A430EC"/>
    <w:rsid w:val="00A52486"/>
    <w:rsid w:val="00A53724"/>
    <w:rsid w:val="00A53B12"/>
    <w:rsid w:val="00A54B2B"/>
    <w:rsid w:val="00A703B6"/>
    <w:rsid w:val="00A82346"/>
    <w:rsid w:val="00A878EC"/>
    <w:rsid w:val="00A912A0"/>
    <w:rsid w:val="00A91473"/>
    <w:rsid w:val="00A941B6"/>
    <w:rsid w:val="00A9671C"/>
    <w:rsid w:val="00AA01C2"/>
    <w:rsid w:val="00AA1553"/>
    <w:rsid w:val="00AA7452"/>
    <w:rsid w:val="00AA7602"/>
    <w:rsid w:val="00AB15AD"/>
    <w:rsid w:val="00AB2A2A"/>
    <w:rsid w:val="00AB5C0A"/>
    <w:rsid w:val="00AC5A2E"/>
    <w:rsid w:val="00AD251B"/>
    <w:rsid w:val="00AE1C27"/>
    <w:rsid w:val="00AE429C"/>
    <w:rsid w:val="00B04AF2"/>
    <w:rsid w:val="00B05380"/>
    <w:rsid w:val="00B05962"/>
    <w:rsid w:val="00B06ED6"/>
    <w:rsid w:val="00B15449"/>
    <w:rsid w:val="00B169F6"/>
    <w:rsid w:val="00B16C2F"/>
    <w:rsid w:val="00B27303"/>
    <w:rsid w:val="00B30690"/>
    <w:rsid w:val="00B32112"/>
    <w:rsid w:val="00B33D6B"/>
    <w:rsid w:val="00B3723F"/>
    <w:rsid w:val="00B41A9B"/>
    <w:rsid w:val="00B4277C"/>
    <w:rsid w:val="00B47FD1"/>
    <w:rsid w:val="00B516BB"/>
    <w:rsid w:val="00B55F7F"/>
    <w:rsid w:val="00B60731"/>
    <w:rsid w:val="00B673D0"/>
    <w:rsid w:val="00B718A6"/>
    <w:rsid w:val="00B71C41"/>
    <w:rsid w:val="00B7538C"/>
    <w:rsid w:val="00B7716C"/>
    <w:rsid w:val="00B830C1"/>
    <w:rsid w:val="00B833B3"/>
    <w:rsid w:val="00B8432F"/>
    <w:rsid w:val="00B84DB2"/>
    <w:rsid w:val="00B952A7"/>
    <w:rsid w:val="00B96067"/>
    <w:rsid w:val="00BA7F23"/>
    <w:rsid w:val="00BB2D0C"/>
    <w:rsid w:val="00BC3555"/>
    <w:rsid w:val="00BC4172"/>
    <w:rsid w:val="00BD4D8A"/>
    <w:rsid w:val="00BD658B"/>
    <w:rsid w:val="00BE03E1"/>
    <w:rsid w:val="00BE052F"/>
    <w:rsid w:val="00BE71F4"/>
    <w:rsid w:val="00BF7BF5"/>
    <w:rsid w:val="00C0219F"/>
    <w:rsid w:val="00C02CD2"/>
    <w:rsid w:val="00C12B51"/>
    <w:rsid w:val="00C14780"/>
    <w:rsid w:val="00C16B8B"/>
    <w:rsid w:val="00C20C6B"/>
    <w:rsid w:val="00C24650"/>
    <w:rsid w:val="00C25465"/>
    <w:rsid w:val="00C301B3"/>
    <w:rsid w:val="00C30C1D"/>
    <w:rsid w:val="00C33079"/>
    <w:rsid w:val="00C36DAC"/>
    <w:rsid w:val="00C46980"/>
    <w:rsid w:val="00C55A12"/>
    <w:rsid w:val="00C6553E"/>
    <w:rsid w:val="00C7315A"/>
    <w:rsid w:val="00C758C6"/>
    <w:rsid w:val="00C82569"/>
    <w:rsid w:val="00C827A2"/>
    <w:rsid w:val="00C83A13"/>
    <w:rsid w:val="00C8666A"/>
    <w:rsid w:val="00C86F10"/>
    <w:rsid w:val="00C9068C"/>
    <w:rsid w:val="00C92967"/>
    <w:rsid w:val="00CA3D0C"/>
    <w:rsid w:val="00CA4268"/>
    <w:rsid w:val="00CA654B"/>
    <w:rsid w:val="00CA65BF"/>
    <w:rsid w:val="00CB1746"/>
    <w:rsid w:val="00CB5BA7"/>
    <w:rsid w:val="00CB72B8"/>
    <w:rsid w:val="00CB75E0"/>
    <w:rsid w:val="00CC10AE"/>
    <w:rsid w:val="00CC4D4C"/>
    <w:rsid w:val="00CC6B95"/>
    <w:rsid w:val="00CD0BA8"/>
    <w:rsid w:val="00CD4C7B"/>
    <w:rsid w:val="00CD58FE"/>
    <w:rsid w:val="00CD6024"/>
    <w:rsid w:val="00CE1182"/>
    <w:rsid w:val="00CF22EC"/>
    <w:rsid w:val="00D018AD"/>
    <w:rsid w:val="00D044C2"/>
    <w:rsid w:val="00D104DB"/>
    <w:rsid w:val="00D15D84"/>
    <w:rsid w:val="00D17502"/>
    <w:rsid w:val="00D17826"/>
    <w:rsid w:val="00D2193A"/>
    <w:rsid w:val="00D23693"/>
    <w:rsid w:val="00D25D42"/>
    <w:rsid w:val="00D33BE3"/>
    <w:rsid w:val="00D35482"/>
    <w:rsid w:val="00D3792D"/>
    <w:rsid w:val="00D43A41"/>
    <w:rsid w:val="00D515A3"/>
    <w:rsid w:val="00D53485"/>
    <w:rsid w:val="00D53777"/>
    <w:rsid w:val="00D55E47"/>
    <w:rsid w:val="00D603D3"/>
    <w:rsid w:val="00D62646"/>
    <w:rsid w:val="00D62E19"/>
    <w:rsid w:val="00D64C78"/>
    <w:rsid w:val="00D67CD1"/>
    <w:rsid w:val="00D738D6"/>
    <w:rsid w:val="00D7615A"/>
    <w:rsid w:val="00D80795"/>
    <w:rsid w:val="00D81D78"/>
    <w:rsid w:val="00D854BE"/>
    <w:rsid w:val="00D87E00"/>
    <w:rsid w:val="00D90EE0"/>
    <w:rsid w:val="00D9134D"/>
    <w:rsid w:val="00D91511"/>
    <w:rsid w:val="00D930F8"/>
    <w:rsid w:val="00D931B9"/>
    <w:rsid w:val="00D96D11"/>
    <w:rsid w:val="00DA1651"/>
    <w:rsid w:val="00DA45FF"/>
    <w:rsid w:val="00DA7A03"/>
    <w:rsid w:val="00DB0DB8"/>
    <w:rsid w:val="00DB1818"/>
    <w:rsid w:val="00DB241F"/>
    <w:rsid w:val="00DB6765"/>
    <w:rsid w:val="00DC309B"/>
    <w:rsid w:val="00DC4DA2"/>
    <w:rsid w:val="00DC5261"/>
    <w:rsid w:val="00DC6E67"/>
    <w:rsid w:val="00DC7FB4"/>
    <w:rsid w:val="00DD29B8"/>
    <w:rsid w:val="00DE25D2"/>
    <w:rsid w:val="00DE6A68"/>
    <w:rsid w:val="00DF51F7"/>
    <w:rsid w:val="00DF7C20"/>
    <w:rsid w:val="00E00382"/>
    <w:rsid w:val="00E11F5B"/>
    <w:rsid w:val="00E12486"/>
    <w:rsid w:val="00E12E91"/>
    <w:rsid w:val="00E1448F"/>
    <w:rsid w:val="00E3094D"/>
    <w:rsid w:val="00E31E32"/>
    <w:rsid w:val="00E330F2"/>
    <w:rsid w:val="00E36041"/>
    <w:rsid w:val="00E42F97"/>
    <w:rsid w:val="00E455DA"/>
    <w:rsid w:val="00E45F11"/>
    <w:rsid w:val="00E46C08"/>
    <w:rsid w:val="00E471CF"/>
    <w:rsid w:val="00E50607"/>
    <w:rsid w:val="00E53E61"/>
    <w:rsid w:val="00E57D88"/>
    <w:rsid w:val="00E62835"/>
    <w:rsid w:val="00E731AE"/>
    <w:rsid w:val="00E763BD"/>
    <w:rsid w:val="00E76F27"/>
    <w:rsid w:val="00E77645"/>
    <w:rsid w:val="00E83697"/>
    <w:rsid w:val="00E859B6"/>
    <w:rsid w:val="00EA66C9"/>
    <w:rsid w:val="00EB3FF8"/>
    <w:rsid w:val="00EB5D32"/>
    <w:rsid w:val="00EB5E5D"/>
    <w:rsid w:val="00EC158F"/>
    <w:rsid w:val="00EC4A25"/>
    <w:rsid w:val="00EC5E45"/>
    <w:rsid w:val="00EC6BD5"/>
    <w:rsid w:val="00ED6910"/>
    <w:rsid w:val="00EE18A5"/>
    <w:rsid w:val="00EE705C"/>
    <w:rsid w:val="00EE7896"/>
    <w:rsid w:val="00EF07F5"/>
    <w:rsid w:val="00EF15E5"/>
    <w:rsid w:val="00EF1805"/>
    <w:rsid w:val="00EF612C"/>
    <w:rsid w:val="00EF7119"/>
    <w:rsid w:val="00F025A2"/>
    <w:rsid w:val="00F036E9"/>
    <w:rsid w:val="00F07388"/>
    <w:rsid w:val="00F07864"/>
    <w:rsid w:val="00F13FF9"/>
    <w:rsid w:val="00F153B7"/>
    <w:rsid w:val="00F17FB4"/>
    <w:rsid w:val="00F2026E"/>
    <w:rsid w:val="00F2210A"/>
    <w:rsid w:val="00F22243"/>
    <w:rsid w:val="00F26720"/>
    <w:rsid w:val="00F31372"/>
    <w:rsid w:val="00F37743"/>
    <w:rsid w:val="00F54A3D"/>
    <w:rsid w:val="00F54CB0"/>
    <w:rsid w:val="00F56BE7"/>
    <w:rsid w:val="00F56D75"/>
    <w:rsid w:val="00F579CD"/>
    <w:rsid w:val="00F62372"/>
    <w:rsid w:val="00F653B8"/>
    <w:rsid w:val="00F65E81"/>
    <w:rsid w:val="00F71B89"/>
    <w:rsid w:val="00F7353C"/>
    <w:rsid w:val="00F73882"/>
    <w:rsid w:val="00F76F8F"/>
    <w:rsid w:val="00F82638"/>
    <w:rsid w:val="00F83EE2"/>
    <w:rsid w:val="00F863EF"/>
    <w:rsid w:val="00F87257"/>
    <w:rsid w:val="00F941DF"/>
    <w:rsid w:val="00F94B8B"/>
    <w:rsid w:val="00F96675"/>
    <w:rsid w:val="00F97B54"/>
    <w:rsid w:val="00FA0E6B"/>
    <w:rsid w:val="00FA1266"/>
    <w:rsid w:val="00FA4D2B"/>
    <w:rsid w:val="00FA4D86"/>
    <w:rsid w:val="00FA76B6"/>
    <w:rsid w:val="00FA7AC9"/>
    <w:rsid w:val="00FB246C"/>
    <w:rsid w:val="00FB36FA"/>
    <w:rsid w:val="00FB4959"/>
    <w:rsid w:val="00FB7B2A"/>
    <w:rsid w:val="00FC06DE"/>
    <w:rsid w:val="00FC1192"/>
    <w:rsid w:val="00FC5ADB"/>
    <w:rsid w:val="00FC7344"/>
    <w:rsid w:val="00FD6D7F"/>
    <w:rsid w:val="00FD7724"/>
    <w:rsid w:val="00FE106D"/>
    <w:rsid w:val="00FE251B"/>
    <w:rsid w:val="00FE2AF5"/>
    <w:rsid w:val="00FE3160"/>
    <w:rsid w:val="00FE7C30"/>
    <w:rsid w:val="00FF11FB"/>
    <w:rsid w:val="00FF6D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06F51E7-3AAB-47AF-8820-BF03C96AE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E6A68"/>
    <w:pPr>
      <w:ind w:left="720"/>
      <w:contextualSpacing/>
    </w:p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DE6A68"/>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E6A68"/>
    <w:rPr>
      <w:i/>
      <w:iCs/>
      <w:color w:val="44546A" w:themeColor="text2"/>
      <w:sz w:val="18"/>
      <w:szCs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E6A68"/>
    <w:rPr>
      <w:lang w:eastAsia="en-US"/>
    </w:rPr>
  </w:style>
  <w:style w:type="character" w:styleId="CommentReference">
    <w:name w:val="annotation reference"/>
    <w:basedOn w:val="DefaultParagraphFont"/>
    <w:uiPriority w:val="99"/>
    <w:qFormat/>
    <w:rsid w:val="005808AB"/>
    <w:rPr>
      <w:sz w:val="16"/>
      <w:szCs w:val="16"/>
    </w:rPr>
  </w:style>
  <w:style w:type="paragraph" w:styleId="CommentText">
    <w:name w:val="annotation text"/>
    <w:basedOn w:val="Normal"/>
    <w:link w:val="CommentTextChar"/>
    <w:rsid w:val="005808AB"/>
  </w:style>
  <w:style w:type="character" w:customStyle="1" w:styleId="CommentTextChar">
    <w:name w:val="Comment Text Char"/>
    <w:basedOn w:val="DefaultParagraphFont"/>
    <w:link w:val="CommentText"/>
    <w:rsid w:val="005808AB"/>
    <w:rPr>
      <w:lang w:eastAsia="en-US"/>
    </w:rPr>
  </w:style>
  <w:style w:type="paragraph" w:styleId="CommentSubject">
    <w:name w:val="annotation subject"/>
    <w:basedOn w:val="CommentText"/>
    <w:next w:val="CommentText"/>
    <w:link w:val="CommentSubjectChar"/>
    <w:rsid w:val="005808AB"/>
    <w:rPr>
      <w:b/>
      <w:bCs/>
    </w:rPr>
  </w:style>
  <w:style w:type="character" w:customStyle="1" w:styleId="CommentSubjectChar">
    <w:name w:val="Comment Subject Char"/>
    <w:basedOn w:val="CommentTextChar"/>
    <w:link w:val="CommentSubject"/>
    <w:rsid w:val="005808AB"/>
    <w:rPr>
      <w:b/>
      <w:bCs/>
      <w:lang w:eastAsia="en-US"/>
    </w:rPr>
  </w:style>
  <w:style w:type="paragraph" w:customStyle="1" w:styleId="Doc-text2">
    <w:name w:val="Doc-text2"/>
    <w:basedOn w:val="Normal"/>
    <w:link w:val="Doc-text2Char"/>
    <w:qFormat/>
    <w:rsid w:val="00FC73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7344"/>
    <w:rPr>
      <w:rFonts w:ascii="Arial" w:eastAsia="MS Mincho" w:hAnsi="Arial"/>
      <w:szCs w:val="24"/>
    </w:rPr>
  </w:style>
  <w:style w:type="table" w:styleId="TableGrid">
    <w:name w:val="Table Grid"/>
    <w:basedOn w:val="TableNormal"/>
    <w:uiPriority w:val="59"/>
    <w:qFormat/>
    <w:rsid w:val="007A00E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A00EC"/>
    <w:pPr>
      <w:spacing w:before="100" w:beforeAutospacing="1" w:after="100" w:afterAutospacing="1" w:line="259" w:lineRule="auto"/>
    </w:pPr>
    <w:rPr>
      <w:rFonts w:asciiTheme="minorHAnsi" w:hAnsiTheme="minorHAnsi" w:cstheme="minorBidi"/>
      <w:sz w:val="24"/>
      <w:szCs w:val="24"/>
      <w:lang w:val="en-US"/>
    </w:rPr>
  </w:style>
  <w:style w:type="paragraph" w:customStyle="1" w:styleId="Doc-comment">
    <w:name w:val="Doc-comment"/>
    <w:basedOn w:val="Normal"/>
    <w:next w:val="Doc-text2"/>
    <w:qFormat/>
    <w:rsid w:val="0012562F"/>
    <w:pPr>
      <w:tabs>
        <w:tab w:val="left" w:pos="1622"/>
      </w:tabs>
      <w:spacing w:after="0"/>
      <w:ind w:left="1622" w:hanging="363"/>
    </w:pPr>
    <w:rPr>
      <w:rFonts w:ascii="Arial" w:eastAsia="MS Mincho" w:hAnsi="Arial"/>
      <w:i/>
      <w:szCs w:val="24"/>
      <w:lang w:eastAsia="en-GB"/>
    </w:rPr>
  </w:style>
  <w:style w:type="character" w:styleId="Mention">
    <w:name w:val="Mention"/>
    <w:basedOn w:val="DefaultParagraphFont"/>
    <w:uiPriority w:val="99"/>
    <w:unhideWhenUsed/>
    <w:rsid w:val="00B60731"/>
    <w:rPr>
      <w:color w:val="2B579A"/>
      <w:shd w:val="clear" w:color="auto" w:fill="E1DFDD"/>
    </w:rPr>
  </w:style>
  <w:style w:type="character" w:styleId="FollowedHyperlink">
    <w:name w:val="FollowedHyperlink"/>
    <w:basedOn w:val="DefaultParagraphFont"/>
    <w:rsid w:val="00A23F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80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630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0b-e/Docs/R1-2208393.zip" TargetMode="External"/><Relationship Id="rId18" Type="http://schemas.openxmlformats.org/officeDocument/2006/relationships/hyperlink" Target="https://www.3gpp.org/ftp/tsg_sa/WG1_Serv/TSGS1_100_Toulouse/Docs/S1-22353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s://www.3gpp.org/ftp/TSG_RAN/TSG_RAN/TSGR_94e/Docs/RP-213690.zip" TargetMode="External"/><Relationship Id="rId17" Type="http://schemas.openxmlformats.org/officeDocument/2006/relationships/hyperlink" Target="https://www.3gpp.org/ftp/tsg_ran/WG2_RL2/TSGR2_120/Docs/R2-2211044.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ran/WG2_RL2/TSGR2_120/Docs/R2-2213001.zip" TargetMode="External"/><Relationship Id="rId20" Type="http://schemas.openxmlformats.org/officeDocument/2006/relationships/image" Target="media/image1.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TSG_RAN/TSGR_98e/Docs/RP-223552.zip" TargetMode="External"/><Relationship Id="rId23" Type="http://schemas.openxmlformats.org/officeDocument/2006/relationships/image" Target="media/image4.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3gpp.org/ftp/tsg_ran/WG2_RL2/TSGR2_120/Docs/R2-2211044.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8e/Docs/RP-223534.zip" TargetMode="External"/><Relationship Id="rId22" Type="http://schemas.openxmlformats.org/officeDocument/2006/relationships/image" Target="media/image3.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5AIRPNAIUNRU-859666464-13401</_dlc_DocId>
    <_dlc_DocIdUrl xmlns="71c5aaf6-e6ce-465b-b873-5148d2a4c105">
      <Url>https://nokia.sharepoint.com/sites/c5g/e2earch/_layouts/15/DocIdRedir.aspx?ID=5AIRPNAIUNRU-859666464-13401</Url>
      <Description>5AIRPNAIUNRU-859666464-13401</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5</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15072</CharactersWithSpaces>
  <SharedDoc>false</SharedDoc>
  <HyperlinkBase/>
  <HLinks>
    <vt:vector size="60" baseType="variant">
      <vt:variant>
        <vt:i4>8126530</vt:i4>
      </vt:variant>
      <vt:variant>
        <vt:i4>24</vt:i4>
      </vt:variant>
      <vt:variant>
        <vt:i4>0</vt:i4>
      </vt:variant>
      <vt:variant>
        <vt:i4>5</vt:i4>
      </vt:variant>
      <vt:variant>
        <vt:lpwstr>https://www.3gpp.org/ftp/tsg_ran/WG2_RL2/TSGR2_120/Docs/R2-2211044.zip</vt:lpwstr>
      </vt:variant>
      <vt:variant>
        <vt:lpwstr/>
      </vt:variant>
      <vt:variant>
        <vt:i4>4325441</vt:i4>
      </vt:variant>
      <vt:variant>
        <vt:i4>21</vt:i4>
      </vt:variant>
      <vt:variant>
        <vt:i4>0</vt:i4>
      </vt:variant>
      <vt:variant>
        <vt:i4>5</vt:i4>
      </vt:variant>
      <vt:variant>
        <vt:lpwstr>https://www.3gpp.org/ftp/tsg_sa/WG1_Serv/TSGS1_100_Toulouse/Docs/S1-223539.zip</vt:lpwstr>
      </vt:variant>
      <vt:variant>
        <vt:lpwstr/>
      </vt:variant>
      <vt:variant>
        <vt:i4>8126530</vt:i4>
      </vt:variant>
      <vt:variant>
        <vt:i4>18</vt:i4>
      </vt:variant>
      <vt:variant>
        <vt:i4>0</vt:i4>
      </vt:variant>
      <vt:variant>
        <vt:i4>5</vt:i4>
      </vt:variant>
      <vt:variant>
        <vt:lpwstr>https://www.3gpp.org/ftp/tsg_ran/WG2_RL2/TSGR2_120/Docs/R2-2211044.zip</vt:lpwstr>
      </vt:variant>
      <vt:variant>
        <vt:lpwstr/>
      </vt:variant>
      <vt:variant>
        <vt:i4>7929924</vt:i4>
      </vt:variant>
      <vt:variant>
        <vt:i4>15</vt:i4>
      </vt:variant>
      <vt:variant>
        <vt:i4>0</vt:i4>
      </vt:variant>
      <vt:variant>
        <vt:i4>5</vt:i4>
      </vt:variant>
      <vt:variant>
        <vt:lpwstr>https://www.3gpp.org/ftp/tsg_ran/WG2_RL2/TSGR2_120/Docs/R2-2213001.zip</vt:lpwstr>
      </vt:variant>
      <vt:variant>
        <vt:lpwstr/>
      </vt:variant>
      <vt:variant>
        <vt:i4>6684765</vt:i4>
      </vt:variant>
      <vt:variant>
        <vt:i4>12</vt:i4>
      </vt:variant>
      <vt:variant>
        <vt:i4>0</vt:i4>
      </vt:variant>
      <vt:variant>
        <vt:i4>5</vt:i4>
      </vt:variant>
      <vt:variant>
        <vt:lpwstr>https://www.3gpp.org/ftp/tsg_ran/TSG_RAN/TSGR_98e/Docs/RP-223552.zip</vt:lpwstr>
      </vt:variant>
      <vt:variant>
        <vt:lpwstr/>
      </vt:variant>
      <vt:variant>
        <vt:i4>6291547</vt:i4>
      </vt:variant>
      <vt:variant>
        <vt:i4>9</vt:i4>
      </vt:variant>
      <vt:variant>
        <vt:i4>0</vt:i4>
      </vt:variant>
      <vt:variant>
        <vt:i4>5</vt:i4>
      </vt:variant>
      <vt:variant>
        <vt:lpwstr>https://www.3gpp.org/ftp/tsg_ran/TSG_RAN/TSGR_98e/Docs/RP-223534.zip</vt:lpwstr>
      </vt:variant>
      <vt:variant>
        <vt:lpwstr/>
      </vt:variant>
      <vt:variant>
        <vt:i4>6094907</vt:i4>
      </vt:variant>
      <vt:variant>
        <vt:i4>6</vt:i4>
      </vt:variant>
      <vt:variant>
        <vt:i4>0</vt:i4>
      </vt:variant>
      <vt:variant>
        <vt:i4>5</vt:i4>
      </vt:variant>
      <vt:variant>
        <vt:lpwstr>https://www.3gpp.org/ftp/tsg_ran/WG1_RL1/TSGR1_110b-e/Docs/R1-2208393.zip</vt:lpwstr>
      </vt:variant>
      <vt:variant>
        <vt:lpwstr/>
      </vt:variant>
      <vt:variant>
        <vt:i4>6815825</vt:i4>
      </vt:variant>
      <vt:variant>
        <vt:i4>0</vt:i4>
      </vt:variant>
      <vt:variant>
        <vt:i4>0</vt:i4>
      </vt:variant>
      <vt:variant>
        <vt:i4>5</vt:i4>
      </vt:variant>
      <vt:variant>
        <vt:lpwstr>https://www.3gpp.org/ftp/TSG_RAN/TSG_RAN/TSGR_94e/Docs/RP-213690.zip</vt:lpwstr>
      </vt:variant>
      <vt:variant>
        <vt:lpwstr/>
      </vt:variant>
      <vt:variant>
        <vt:i4>6488085</vt:i4>
      </vt:variant>
      <vt:variant>
        <vt:i4>3</vt:i4>
      </vt:variant>
      <vt:variant>
        <vt:i4>0</vt:i4>
      </vt:variant>
      <vt:variant>
        <vt:i4>5</vt:i4>
      </vt:variant>
      <vt:variant>
        <vt:lpwstr>mailto:jakob.buthler@nokia.com</vt:lpwstr>
      </vt:variant>
      <vt:variant>
        <vt:lpwstr/>
      </vt:variant>
      <vt:variant>
        <vt:i4>6488085</vt:i4>
      </vt:variant>
      <vt:variant>
        <vt:i4>0</vt:i4>
      </vt:variant>
      <vt:variant>
        <vt:i4>0</vt:i4>
      </vt:variant>
      <vt:variant>
        <vt:i4>5</vt:i4>
      </vt:variant>
      <vt:variant>
        <vt:lpwstr>mailto:jakob.buthler@nokia.com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Jakob Buthler (Nokia)</cp:lastModifiedBy>
  <cp:revision>424</cp:revision>
  <dcterms:created xsi:type="dcterms:W3CDTF">2016-08-13T16:53:00Z</dcterms:created>
  <dcterms:modified xsi:type="dcterms:W3CDTF">2023-02-16T16:13:00Z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73b4ad0a-a5be-42f0-a813-916b8c17e88c</vt:lpwstr>
  </property>
</Properties>
</file>